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9A0CB1">
      <w:pPr>
        <w:kinsoku w:val="0"/>
        <w:overflowPunct w:val="0"/>
        <w:autoSpaceDE w:val="0"/>
        <w:autoSpaceDN w:val="0"/>
        <w:adjustRightInd w:val="0"/>
        <w:snapToGrid w:val="0"/>
        <w:spacing w:line="360" w:lineRule="auto"/>
        <w:jc w:val="center"/>
        <w:rPr>
          <w:rFonts w:hint="eastAsia" w:asciiTheme="minorEastAsia" w:hAnsiTheme="minorEastAsia" w:cstheme="minorEastAsia"/>
          <w:b/>
          <w:sz w:val="32"/>
          <w:szCs w:val="32"/>
        </w:rPr>
      </w:pPr>
      <w:bookmarkStart w:id="0" w:name="_Toc256000000"/>
      <w:r>
        <w:rPr>
          <w:rFonts w:hint="eastAsia" w:asciiTheme="minorEastAsia" w:hAnsiTheme="minorEastAsia" w:cstheme="minorEastAsia"/>
          <w:b/>
          <w:sz w:val="32"/>
          <w:szCs w:val="32"/>
        </w:rPr>
        <w:t>国家税务总局柳林县税务局2026-2027年非执法类辅助服务项目</w:t>
      </w:r>
    </w:p>
    <w:p w14:paraId="751CF486">
      <w:pPr>
        <w:kinsoku w:val="0"/>
        <w:overflowPunct w:val="0"/>
        <w:autoSpaceDE w:val="0"/>
        <w:autoSpaceDN w:val="0"/>
        <w:adjustRightInd w:val="0"/>
        <w:snapToGrid w:val="0"/>
        <w:spacing w:line="360" w:lineRule="auto"/>
        <w:jc w:val="center"/>
      </w:pPr>
      <w:r>
        <w:rPr>
          <w:rFonts w:hint="eastAsia" w:asciiTheme="minorEastAsia" w:hAnsiTheme="minorEastAsia" w:cstheme="minorEastAsia"/>
          <w:b/>
          <w:sz w:val="32"/>
          <w:szCs w:val="32"/>
        </w:rPr>
        <w:t>采购需求</w:t>
      </w:r>
    </w:p>
    <w:p w14:paraId="2B544AA9">
      <w:pPr>
        <w:pStyle w:val="3"/>
        <w:keepNext w:val="0"/>
        <w:spacing w:before="0" w:after="0" w:line="360" w:lineRule="auto"/>
        <w:rPr>
          <w:rFonts w:hint="eastAsia" w:ascii="宋体" w:hAnsi="宋体" w:eastAsia="宋体" w:cs="宋体"/>
          <w:b/>
          <w:i w:val="0"/>
          <w:iCs w:val="0"/>
          <w:sz w:val="24"/>
          <w:szCs w:val="24"/>
          <w:highlight w:val="none"/>
        </w:rPr>
      </w:pPr>
      <w:r>
        <w:rPr>
          <w:rFonts w:hint="eastAsia" w:ascii="宋体" w:hAnsi="宋体" w:eastAsia="宋体" w:cs="宋体"/>
          <w:b/>
          <w:i w:val="0"/>
          <w:iCs w:val="0"/>
          <w:sz w:val="24"/>
          <w:szCs w:val="24"/>
          <w:highlight w:val="none"/>
        </w:rPr>
        <w:t>1项目概述</w:t>
      </w:r>
      <w:bookmarkEnd w:id="0"/>
    </w:p>
    <w:p w14:paraId="28FD6660">
      <w:pPr>
        <w:pStyle w:val="4"/>
        <w:keepNext w:val="0"/>
        <w:spacing w:before="0" w:after="0" w:line="360" w:lineRule="auto"/>
        <w:rPr>
          <w:rFonts w:hint="eastAsia" w:ascii="宋体" w:hAnsi="宋体" w:eastAsia="宋体" w:cs="宋体"/>
          <w:b/>
          <w:bCs/>
          <w:sz w:val="24"/>
          <w:szCs w:val="24"/>
          <w:highlight w:val="none"/>
          <w:lang w:eastAsia="zh-CN"/>
        </w:rPr>
      </w:pPr>
      <w:bookmarkStart w:id="1" w:name="_Toc256000002"/>
      <w:r>
        <w:rPr>
          <w:rFonts w:hint="eastAsia" w:ascii="宋体" w:hAnsi="宋体" w:eastAsia="宋体" w:cs="宋体"/>
          <w:sz w:val="24"/>
          <w:szCs w:val="24"/>
          <w:highlight w:val="none"/>
        </w:rPr>
        <w:t>1.1项目</w:t>
      </w:r>
      <w:bookmarkEnd w:id="1"/>
      <w:r>
        <w:rPr>
          <w:rFonts w:hint="eastAsia" w:ascii="宋体" w:hAnsi="宋体" w:cs="宋体"/>
          <w:sz w:val="24"/>
          <w:szCs w:val="24"/>
          <w:highlight w:val="none"/>
          <w:lang w:val="en-US" w:eastAsia="zh-CN"/>
        </w:rPr>
        <w:t>概况</w:t>
      </w:r>
    </w:p>
    <w:p w14:paraId="6B84D0F3">
      <w:pPr>
        <w:tabs>
          <w:tab w:val="center" w:pos="4890"/>
        </w:tabs>
        <w:kinsoku w:val="0"/>
        <w:overflowPunct w:val="0"/>
        <w:autoSpaceDE w:val="0"/>
        <w:autoSpaceDN w:val="0"/>
        <w:adjustRightInd w:val="0"/>
        <w:snapToGrid w:val="0"/>
        <w:spacing w:after="0"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国家税务总局柳林县税务局2026-2027年非执法类辅助服务项目</w:t>
      </w:r>
      <w:r>
        <w:rPr>
          <w:rFonts w:hint="eastAsia" w:ascii="宋体" w:hAnsi="宋体" w:eastAsia="宋体" w:cs="宋体"/>
          <w:color w:val="000000"/>
          <w:sz w:val="24"/>
          <w:szCs w:val="24"/>
          <w:highlight w:val="none"/>
        </w:rPr>
        <w:t>，预算安排</w:t>
      </w:r>
      <w:r>
        <w:rPr>
          <w:rFonts w:hint="eastAsia" w:ascii="宋体" w:hAnsi="宋体" w:eastAsia="宋体" w:cs="宋体"/>
          <w:color w:val="000000"/>
          <w:sz w:val="24"/>
          <w:szCs w:val="24"/>
          <w:highlight w:val="none"/>
          <w:lang w:val="en-US" w:eastAsia="zh-CN"/>
        </w:rPr>
        <w:t>15267</w:t>
      </w:r>
      <w:r>
        <w:rPr>
          <w:rFonts w:hint="eastAsia" w:ascii="宋体" w:hAnsi="宋体" w:eastAsia="宋体" w:cs="宋体"/>
          <w:color w:val="000000"/>
          <w:sz w:val="24"/>
          <w:szCs w:val="24"/>
          <w:highlight w:val="none"/>
        </w:rPr>
        <w:t>00.00元。本次招标为</w:t>
      </w:r>
      <w:r>
        <w:rPr>
          <w:rFonts w:hint="eastAsia" w:ascii="宋体" w:hAnsi="宋体" w:eastAsia="宋体" w:cs="宋体"/>
          <w:color w:val="000000"/>
          <w:sz w:val="24"/>
          <w:szCs w:val="24"/>
          <w:highlight w:val="none"/>
          <w:lang w:eastAsia="zh-CN"/>
        </w:rPr>
        <w:t>国家税务总局柳林县税务局2026-2027年非执法类辅助服务项目</w:t>
      </w:r>
      <w:r>
        <w:rPr>
          <w:rFonts w:hint="eastAsia" w:ascii="宋体" w:hAnsi="宋体" w:eastAsia="宋体" w:cs="宋体"/>
          <w:color w:val="000000"/>
          <w:sz w:val="24"/>
          <w:szCs w:val="24"/>
          <w:highlight w:val="none"/>
        </w:rPr>
        <w:t>，最高限价</w:t>
      </w:r>
      <w:r>
        <w:rPr>
          <w:rFonts w:hint="eastAsia" w:ascii="宋体" w:hAnsi="宋体" w:eastAsia="宋体" w:cs="宋体"/>
          <w:color w:val="000000"/>
          <w:sz w:val="24"/>
          <w:szCs w:val="24"/>
          <w:highlight w:val="none"/>
          <w:lang w:val="en-US" w:eastAsia="zh-CN"/>
        </w:rPr>
        <w:t>15267</w:t>
      </w:r>
      <w:r>
        <w:rPr>
          <w:rFonts w:hint="eastAsia" w:ascii="宋体" w:hAnsi="宋体" w:eastAsia="宋体" w:cs="宋体"/>
          <w:color w:val="000000"/>
          <w:sz w:val="24"/>
          <w:szCs w:val="24"/>
          <w:highlight w:val="none"/>
        </w:rPr>
        <w:t>00.00元。</w:t>
      </w:r>
    </w:p>
    <w:p w14:paraId="095B13E8">
      <w:pPr>
        <w:tabs>
          <w:tab w:val="center" w:pos="4890"/>
        </w:tabs>
        <w:kinsoku w:val="0"/>
        <w:overflowPunct w:val="0"/>
        <w:autoSpaceDE w:val="0"/>
        <w:autoSpaceDN w:val="0"/>
        <w:adjustRightInd w:val="0"/>
        <w:snapToGrid w:val="0"/>
        <w:spacing w:after="0"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为进一步优化税收营商环境，深入推进税费服务方式转型升级，积极构建更加便捷、优质、高效的税费服务新模式，提高办税服务质量和工作效率，更好地服务于纳税人缴费人，国家税务总局</w:t>
      </w:r>
      <w:r>
        <w:rPr>
          <w:rFonts w:hint="eastAsia" w:ascii="宋体" w:hAnsi="宋体" w:cs="宋体"/>
          <w:color w:val="000000"/>
          <w:sz w:val="24"/>
          <w:szCs w:val="24"/>
          <w:highlight w:val="none"/>
          <w:lang w:val="en-US" w:eastAsia="zh-CN"/>
        </w:rPr>
        <w:t>柳林县</w:t>
      </w:r>
      <w:r>
        <w:rPr>
          <w:rFonts w:hint="eastAsia" w:ascii="宋体" w:hAnsi="宋体" w:eastAsia="宋体" w:cs="宋体"/>
          <w:color w:val="000000"/>
          <w:sz w:val="24"/>
          <w:szCs w:val="24"/>
          <w:highlight w:val="none"/>
        </w:rPr>
        <w:t>税务局拟对</w:t>
      </w:r>
      <w:r>
        <w:rPr>
          <w:rFonts w:hint="default" w:ascii="宋体" w:hAnsi="宋体" w:cs="宋体"/>
          <w:color w:val="000000"/>
          <w:sz w:val="24"/>
          <w:szCs w:val="24"/>
          <w:highlight w:val="none"/>
        </w:rPr>
        <w:t>2026-2027年</w:t>
      </w:r>
      <w:r>
        <w:rPr>
          <w:rFonts w:hint="eastAsia" w:ascii="宋体" w:hAnsi="宋体" w:eastAsia="宋体" w:cs="宋体"/>
          <w:color w:val="000000"/>
          <w:sz w:val="24"/>
          <w:szCs w:val="24"/>
          <w:highlight w:val="none"/>
        </w:rPr>
        <w:t>非执法类辅助性服务进行采购。</w:t>
      </w:r>
    </w:p>
    <w:p w14:paraId="700992CB">
      <w:pPr>
        <w:tabs>
          <w:tab w:val="center" w:pos="4890"/>
        </w:tabs>
        <w:kinsoku w:val="0"/>
        <w:overflowPunct w:val="0"/>
        <w:autoSpaceDE w:val="0"/>
        <w:autoSpaceDN w:val="0"/>
        <w:adjustRightInd w:val="0"/>
        <w:snapToGrid w:val="0"/>
        <w:spacing w:after="0"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通过公开招标方式选取一名具备专业服务能力及资质的供应商，根据单位需求及纳税人、缴费人的业务需求，提供后勤服务、涉税咨询、基础资料预审、税收宣传、涉税诉求受理等非执法类辅助服务，合理有效分流，解答纳税人、缴费人办税、缴费过程中遇到的税务问题，提高工作服务效率。</w:t>
      </w:r>
    </w:p>
    <w:p w14:paraId="793A672A">
      <w:pPr>
        <w:pStyle w:val="3"/>
        <w:keepNext w:val="0"/>
        <w:spacing w:before="0" w:after="0" w:line="360" w:lineRule="auto"/>
        <w:jc w:val="both"/>
        <w:rPr>
          <w:rFonts w:hint="eastAsia" w:ascii="宋体" w:hAnsi="宋体" w:eastAsia="宋体" w:cs="宋体"/>
          <w:b/>
          <w:bCs/>
          <w:sz w:val="24"/>
          <w:szCs w:val="24"/>
          <w:highlight w:val="none"/>
        </w:rPr>
      </w:pPr>
      <w:bookmarkStart w:id="2" w:name="_Toc256000003"/>
      <w:r>
        <w:rPr>
          <w:rFonts w:hint="eastAsia" w:ascii="宋体" w:hAnsi="宋体" w:eastAsia="宋体" w:cs="宋体"/>
          <w:i w:val="0"/>
          <w:iCs w:val="0"/>
          <w:sz w:val="24"/>
          <w:szCs w:val="24"/>
          <w:highlight w:val="none"/>
        </w:rPr>
        <w:t>1.2项目内容</w:t>
      </w:r>
      <w:bookmarkEnd w:id="2"/>
    </w:p>
    <w:p w14:paraId="52D0D6F1">
      <w:pPr>
        <w:tabs>
          <w:tab w:val="center" w:pos="4890"/>
        </w:tabs>
        <w:kinsoku w:val="0"/>
        <w:overflowPunct w:val="0"/>
        <w:autoSpaceDE w:val="0"/>
        <w:autoSpaceDN w:val="0"/>
        <w:adjustRightInd w:val="0"/>
        <w:snapToGrid w:val="0"/>
        <w:spacing w:after="0" w:line="360" w:lineRule="auto"/>
        <w:ind w:firstLine="480" w:firstLineChars="200"/>
        <w:rPr>
          <w:rFonts w:hint="eastAsia" w:ascii="宋体" w:hAnsi="宋体" w:eastAsia="宋体" w:cs="宋体"/>
          <w:color w:val="000000"/>
          <w:sz w:val="24"/>
          <w:szCs w:val="24"/>
          <w:highlight w:val="none"/>
        </w:rPr>
      </w:pPr>
      <w:bookmarkStart w:id="3" w:name="_Toc256000005"/>
      <w:r>
        <w:rPr>
          <w:rFonts w:hint="eastAsia" w:ascii="宋体" w:hAnsi="宋体" w:eastAsia="宋体" w:cs="宋体"/>
          <w:color w:val="000000"/>
          <w:sz w:val="24"/>
          <w:szCs w:val="24"/>
          <w:highlight w:val="none"/>
        </w:rPr>
        <w:t>根据单位需求及纳税人、缴费人的业务需求，提供后勤服务、涉税咨询、基础资料预审、税收宣传、涉税诉求受理等非执法类辅助服务，合理有效分流，解答纳税人、缴费人办税、缴费过程中遇到的税务问题，提高工作服务效率。</w:t>
      </w:r>
    </w:p>
    <w:bookmarkEnd w:id="3"/>
    <w:p w14:paraId="1498FFDE">
      <w:pPr>
        <w:pStyle w:val="11"/>
        <w:spacing w:before="0" w:after="0" w:line="360" w:lineRule="auto"/>
        <w:ind w:firstLine="240" w:firstLineChars="100"/>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主要服务内容为：</w:t>
      </w:r>
      <w:r>
        <w:rPr>
          <w:rFonts w:hint="eastAsia" w:ascii="宋体" w:hAnsi="宋体" w:eastAsia="宋体" w:cs="宋体"/>
          <w:color w:val="000000"/>
          <w:sz w:val="24"/>
          <w:szCs w:val="24"/>
          <w:highlight w:val="none"/>
          <w:lang w:eastAsia="zh-CN"/>
        </w:rPr>
        <w:t>国家税务总局柳林县税务局2026-2027年非执法类辅助服务</w:t>
      </w:r>
      <w:r>
        <w:rPr>
          <w:rFonts w:hint="eastAsia" w:ascii="宋体" w:hAnsi="宋体" w:eastAsia="宋体" w:cs="宋体"/>
          <w:color w:val="000000"/>
          <w:sz w:val="24"/>
          <w:szCs w:val="24"/>
          <w:highlight w:val="none"/>
        </w:rPr>
        <w:t>。</w:t>
      </w:r>
    </w:p>
    <w:p w14:paraId="7BB01833">
      <w:pPr>
        <w:spacing w:line="360" w:lineRule="auto"/>
        <w:ind w:firstLine="240" w:firstLineChars="100"/>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 xml:space="preserve">服务期限：自合同签订之日起一年。 </w:t>
      </w:r>
    </w:p>
    <w:p w14:paraId="52934871">
      <w:pPr>
        <w:spacing w:line="360" w:lineRule="auto"/>
        <w:ind w:firstLine="240" w:firstLineChars="100"/>
        <w:rPr>
          <w:rFonts w:hint="default" w:ascii="宋体" w:hAnsi="宋体" w:eastAsia="宋体" w:cs="宋体"/>
          <w:color w:val="000000"/>
          <w:kern w:val="2"/>
          <w:sz w:val="24"/>
          <w:szCs w:val="24"/>
          <w:highlight w:val="none"/>
          <w:lang w:eastAsia="zh-CN" w:bidi="ar-SA"/>
        </w:rPr>
      </w:pPr>
      <w:r>
        <w:rPr>
          <w:rFonts w:hint="eastAsia" w:ascii="宋体" w:hAnsi="宋体" w:eastAsia="宋体" w:cs="宋体"/>
          <w:color w:val="000000"/>
          <w:kern w:val="2"/>
          <w:sz w:val="24"/>
          <w:szCs w:val="24"/>
          <w:highlight w:val="none"/>
          <w:lang w:val="en-US" w:eastAsia="zh-CN" w:bidi="ar-SA"/>
        </w:rPr>
        <w:t>服务地点：柳林县</w:t>
      </w:r>
      <w:bookmarkStart w:id="7" w:name="_GoBack"/>
      <w:bookmarkEnd w:id="7"/>
      <w:r>
        <w:rPr>
          <w:rFonts w:hint="default" w:ascii="宋体" w:hAnsi="宋体" w:cs="宋体"/>
          <w:color w:val="000000"/>
          <w:kern w:val="2"/>
          <w:sz w:val="24"/>
          <w:szCs w:val="24"/>
          <w:highlight w:val="none"/>
          <w:lang w:eastAsia="zh-CN" w:bidi="ar-SA"/>
        </w:rPr>
        <w:t>青龙大街市民服务中心。</w:t>
      </w:r>
    </w:p>
    <w:p w14:paraId="6F2674EF">
      <w:pPr>
        <w:pStyle w:val="11"/>
        <w:spacing w:before="0" w:after="0" w:line="360" w:lineRule="auto"/>
        <w:ind w:firstLine="240" w:firstLineChars="100"/>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如服务地点发生变更，供应商应无条件予以配合，采购人不再额外支付服务费用。</w:t>
      </w:r>
    </w:p>
    <w:p w14:paraId="3BD73D73">
      <w:pPr>
        <w:pStyle w:val="3"/>
        <w:keepNext w:val="0"/>
        <w:spacing w:before="0" w:after="0" w:line="360" w:lineRule="auto"/>
        <w:rPr>
          <w:rFonts w:hint="eastAsia" w:ascii="宋体" w:hAnsi="宋体" w:eastAsia="宋体" w:cs="宋体"/>
          <w:b/>
          <w:i w:val="0"/>
          <w:iCs w:val="0"/>
          <w:sz w:val="24"/>
          <w:szCs w:val="24"/>
          <w:highlight w:val="none"/>
        </w:rPr>
      </w:pPr>
      <w:bookmarkStart w:id="4" w:name="_Toc256000018"/>
      <w:r>
        <w:rPr>
          <w:rFonts w:hint="eastAsia" w:ascii="宋体" w:hAnsi="宋体" w:eastAsia="宋体" w:cs="宋体"/>
          <w:b/>
          <w:i w:val="0"/>
          <w:iCs w:val="0"/>
          <w:sz w:val="24"/>
          <w:szCs w:val="24"/>
          <w:highlight w:val="none"/>
          <w:lang w:val="en-US" w:eastAsia="zh-CN"/>
        </w:rPr>
        <w:t>2</w:t>
      </w:r>
      <w:r>
        <w:rPr>
          <w:rFonts w:hint="eastAsia" w:ascii="宋体" w:hAnsi="宋体" w:eastAsia="宋体" w:cs="宋体"/>
          <w:b/>
          <w:i w:val="0"/>
          <w:iCs w:val="0"/>
          <w:sz w:val="24"/>
          <w:szCs w:val="24"/>
          <w:highlight w:val="none"/>
        </w:rPr>
        <w:t>项目需求</w:t>
      </w:r>
      <w:bookmarkEnd w:id="4"/>
    </w:p>
    <w:p w14:paraId="0D2BE053">
      <w:pPr>
        <w:pStyle w:val="3"/>
        <w:keepNext w:val="0"/>
        <w:spacing w:before="0" w:after="0" w:line="360" w:lineRule="auto"/>
        <w:jc w:val="both"/>
        <w:rPr>
          <w:rFonts w:hint="eastAsia" w:ascii="宋体" w:hAnsi="宋体" w:eastAsia="宋体" w:cs="宋体"/>
          <w:b/>
          <w:bCs/>
          <w:sz w:val="24"/>
          <w:szCs w:val="24"/>
          <w:highlight w:val="none"/>
        </w:rPr>
      </w:pPr>
      <w:bookmarkStart w:id="5" w:name="_Toc256000019"/>
      <w:r>
        <w:rPr>
          <w:rFonts w:hint="eastAsia" w:ascii="宋体" w:hAnsi="宋体" w:eastAsia="宋体" w:cs="宋体"/>
          <w:i w:val="0"/>
          <w:iCs w:val="0"/>
          <w:sz w:val="24"/>
          <w:szCs w:val="24"/>
          <w:highlight w:val="none"/>
          <w:lang w:val="en-US" w:eastAsia="zh-CN"/>
        </w:rPr>
        <w:t>2</w:t>
      </w:r>
      <w:r>
        <w:rPr>
          <w:rFonts w:hint="eastAsia" w:ascii="宋体" w:hAnsi="宋体" w:eastAsia="宋体" w:cs="宋体"/>
          <w:i w:val="0"/>
          <w:iCs w:val="0"/>
          <w:sz w:val="24"/>
          <w:szCs w:val="24"/>
          <w:highlight w:val="none"/>
        </w:rPr>
        <w:t>.1总体要求</w:t>
      </w:r>
      <w:bookmarkEnd w:id="5"/>
    </w:p>
    <w:p w14:paraId="5AF78C26">
      <w:pPr>
        <w:pStyle w:val="11"/>
        <w:spacing w:before="0" w:after="0"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1.供应商接受项目行业管理部门及政府有关部门的指导，接受采购人的监督。</w:t>
      </w:r>
    </w:p>
    <w:p w14:paraId="7E026F97">
      <w:pPr>
        <w:pStyle w:val="11"/>
        <w:spacing w:before="0" w:after="0"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2.供应商定期及时向采购人通告本项目服务范围内有关服务的重大事项及其进度。</w:t>
      </w:r>
    </w:p>
    <w:p w14:paraId="022E7444">
      <w:pPr>
        <w:pStyle w:val="3"/>
        <w:keepNext w:val="0"/>
        <w:spacing w:before="0" w:after="0" w:line="360" w:lineRule="auto"/>
        <w:jc w:val="both"/>
        <w:rPr>
          <w:rFonts w:hint="eastAsia" w:ascii="宋体" w:hAnsi="宋体" w:eastAsia="宋体" w:cs="宋体"/>
          <w:i w:val="0"/>
          <w:iCs w:val="0"/>
          <w:sz w:val="24"/>
          <w:szCs w:val="24"/>
          <w:highlight w:val="none"/>
        </w:rPr>
      </w:pPr>
      <w:bookmarkStart w:id="6" w:name="_Toc256000020"/>
      <w:r>
        <w:rPr>
          <w:rFonts w:hint="eastAsia" w:ascii="宋体" w:hAnsi="宋体" w:eastAsia="宋体" w:cs="宋体"/>
          <w:i w:val="0"/>
          <w:iCs w:val="0"/>
          <w:sz w:val="24"/>
          <w:szCs w:val="24"/>
          <w:highlight w:val="none"/>
          <w:lang w:val="en-US" w:eastAsia="zh-CN"/>
        </w:rPr>
        <w:t>2</w:t>
      </w:r>
      <w:r>
        <w:rPr>
          <w:rFonts w:hint="eastAsia" w:ascii="宋体" w:hAnsi="宋体" w:eastAsia="宋体" w:cs="宋体"/>
          <w:i w:val="0"/>
          <w:iCs w:val="0"/>
          <w:sz w:val="24"/>
          <w:szCs w:val="24"/>
          <w:highlight w:val="none"/>
        </w:rPr>
        <w:t>.2服务内容和要求</w:t>
      </w:r>
      <w:bookmarkEnd w:id="6"/>
    </w:p>
    <w:p w14:paraId="63EBE1F1">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本次采购项目服务内容分为导税咨询服务、基础资料预检服务、综合辅导服务、远程咨询辅导服务、信息采集录入及资料整理归档服务及其他非执法类辅助性服务。</w:t>
      </w:r>
    </w:p>
    <w:p w14:paraId="565678FE">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导税咨询服务：根据纳税人缴费人的业务需求，进行办税缴费事项分流。梳理业务事项办理方式，推行自助优先、窗口支撑的分流模式，为纳税人缴费人快速指引高效办税路线。对需要窗口办理事项的纳税人缴费人，为其提供相应的办税缴费表单、协助取号，引导纳税人缴费人前往窗口办理业务。结合实际情况开展政策宣传，协助维护办税服务厅秩序。</w:t>
      </w:r>
    </w:p>
    <w:p w14:paraId="4EC68133">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2.基础资料预检服务：根据纳税人缴费人业务需要，对其提交的基础资料的完备性进行初核，具体包括：初核办税人员身份；初核纳税人提交的表单等资料是否齐全、是否符合法定形式、填写内容是否完整；初核适用税费征收政策及计征依据、税（费）率；初核是否符合税费优惠条件等。对资料不齐全或不符合数据填报要求的当场一次性提示补正要求或不予受理原因。 </w:t>
      </w:r>
    </w:p>
    <w:p w14:paraId="06EEB12A">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3.综合辅导服务：辅导纳税人缴费人进行相关表单的正确填写；辅导纳税人缴费人对可以通过线上办理的业务前往自助办税区办理；主动推广征纳互动服务渠道，宣传、引导纳税人缴费人使用征纳互动办理业务。</w:t>
      </w:r>
    </w:p>
    <w:p w14:paraId="37709D6D">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4.远程咨询辅导服务：在服务点提供对外公开电话（不含12366热线服务）远程咨询服务，辅导纳税人缴费人进行远程办税缴费。</w:t>
      </w:r>
    </w:p>
    <w:p w14:paraId="0146105D">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5.信息采集录入及资料整理归档服务：根据纳税人缴费人提供的申请、申报等表单，进行相关数据的采集录入。做好各类记录，文档填写，涉税资料扫描、整理归档等。</w:t>
      </w:r>
    </w:p>
    <w:p w14:paraId="0043EB4D">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6.配合税务部门完成其他非执法类辅助性服务有关的工作。</w:t>
      </w:r>
    </w:p>
    <w:p w14:paraId="1EEE0572">
      <w:pPr>
        <w:rPr>
          <w:rFonts w:hint="eastAsia"/>
        </w:rPr>
      </w:pPr>
    </w:p>
    <w:p w14:paraId="6A034E4D">
      <w:pPr>
        <w:pStyle w:val="5"/>
        <w:keepNext w:val="0"/>
        <w:spacing w:before="0" w:after="0" w:line="360" w:lineRule="auto"/>
        <w:jc w:val="both"/>
        <w:rPr>
          <w:rFonts w:hint="eastAsia" w:ascii="宋体" w:hAnsi="宋体" w:eastAsia="宋体" w:cs="宋体"/>
          <w:b/>
          <w:bCs/>
          <w:sz w:val="24"/>
          <w:szCs w:val="24"/>
          <w:highlight w:val="none"/>
        </w:rPr>
      </w:pPr>
      <w:r>
        <w:rPr>
          <w:rFonts w:hint="eastAsia" w:cs="宋体"/>
          <w:sz w:val="24"/>
          <w:szCs w:val="24"/>
          <w:highlight w:val="none"/>
          <w:lang w:val="en-US" w:eastAsia="zh-CN"/>
        </w:rPr>
        <w:t>2.3</w:t>
      </w:r>
      <w:r>
        <w:rPr>
          <w:rFonts w:hint="eastAsia" w:ascii="宋体" w:hAnsi="宋体" w:eastAsia="宋体" w:cs="宋体"/>
          <w:sz w:val="24"/>
          <w:szCs w:val="24"/>
          <w:highlight w:val="none"/>
        </w:rPr>
        <w:t>具体要求</w:t>
      </w:r>
    </w:p>
    <w:p w14:paraId="68AC1B49">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 导税咨询服务</w:t>
      </w:r>
    </w:p>
    <w:p w14:paraId="18E89CBC">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服务标准：</w:t>
      </w:r>
    </w:p>
    <w:p w14:paraId="19DC8173">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业务分流精准度：需在纳税人缴费人表述需求后的5分钟内，准确判断其业务类型（如个人所得税汇算、企业增值税申报、房产交易纳税等），并引导至对应窗口或自助终端，分流准确率需达95%以上。</w:t>
      </w:r>
    </w:p>
    <w:p w14:paraId="1ECC6E7E">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取号服务效率：基础资料预检通过后，应在2分钟内完成取号操作，并向纳税人缴费人说明预计等候时间（误差不超过10分钟），同时提供业务办理窗口的方位指引（如“请前往3号窗口，直行后左转即可到达”）。</w:t>
      </w:r>
    </w:p>
    <w:p w14:paraId="6E0DA802">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表单提供规范性：根据业务需求提供的办税缴费表单需完整（包含必填项、勾选项、附件清单），且需同步讲解表单填写要点（如“此表单需填写纳税人识别号、金额大写等关键信息，建议您先核对数据”），表单提供错误率为0。</w:t>
      </w:r>
    </w:p>
    <w:p w14:paraId="3ABF86B0">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服务量要求：</w:t>
      </w:r>
    </w:p>
    <w:p w14:paraId="16D9F34C">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根据往年工作开展情况估算服务体量，每日服务纳税人缴费人不少于30人次，其中高峰期（如申报期前3天、大征期）需提升至50人次以上。</w:t>
      </w:r>
    </w:p>
    <w:p w14:paraId="1EFBCA17">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每月需更新业务分流指引手册，记录新增业务类型及对应窗口分配规则，累计更新内容不少于5条。</w:t>
      </w:r>
    </w:p>
    <w:p w14:paraId="69CDC0B9">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 基础资料预检服务</w:t>
      </w:r>
    </w:p>
    <w:p w14:paraId="53137899">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服务标准：</w:t>
      </w:r>
    </w:p>
    <w:p w14:paraId="69C2EEDE">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资料完备性查验：需在3分钟内完成对纳税人缴费人基础资料的查验，涵盖身份证件、营业执照、业务申请表等核心材料，查验后需出具</w:t>
      </w:r>
      <w:r>
        <w:rPr>
          <w:rFonts w:hint="eastAsia" w:ascii="宋体" w:hAnsi="宋体" w:cs="宋体"/>
          <w:kern w:val="2"/>
          <w:sz w:val="24"/>
          <w:szCs w:val="24"/>
          <w:highlight w:val="none"/>
          <w:lang w:val="en-US" w:eastAsia="zh-CN" w:bidi="ar-SA"/>
        </w:rPr>
        <w:t>相关的书面资料</w:t>
      </w:r>
      <w:r>
        <w:rPr>
          <w:rFonts w:hint="eastAsia" w:ascii="宋体" w:hAnsi="宋体" w:eastAsia="宋体" w:cs="宋体"/>
          <w:kern w:val="2"/>
          <w:sz w:val="24"/>
          <w:szCs w:val="24"/>
          <w:highlight w:val="none"/>
          <w:lang w:val="en-US" w:eastAsia="zh-CN" w:bidi="ar-SA"/>
        </w:rPr>
        <w:t>（标注“齐全”“缺件：XXX”“需补充说明：XXX”）。</w:t>
      </w:r>
    </w:p>
    <w:p w14:paraId="303602D7">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材料完整性初核：对提供的办税缴费材料（如发票领用申请表、纳税申报表）需逐项核对，确保无缺漏项、涂改项（涂改需加盖公章），材料初核通过率需达90%以上，对存在问题的材料需当场提供修改建议（如“此表格缺少法人签字，请补充后重新提交”）。</w:t>
      </w:r>
    </w:p>
    <w:p w14:paraId="44741B03">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表单填写准确性：对办税缴费表格的填写核对需包含数据逻辑（如“申报金额与附列资料是否一致”）、格式规范（如日期格式为“YYYY  MM  DD”），填写错误修正指导需在5分钟内完成，确保纳税人缴费人理解并修改到位。</w:t>
      </w:r>
    </w:p>
    <w:p w14:paraId="58282021">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服务量要求：</w:t>
      </w:r>
    </w:p>
    <w:p w14:paraId="5B2A89A5">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根据往年工作开展情况估算服务体量，每日查验资料不少于50份。</w:t>
      </w:r>
    </w:p>
    <w:p w14:paraId="76C1CAEB">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每周汇总资料查验问题（如“常见缺件类型：完税证明、授权委托书”），形成《资料查验问题周报》，提交至税务大厅管理岗。</w:t>
      </w:r>
    </w:p>
    <w:p w14:paraId="438F9A62">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3.综合辅导服务</w:t>
      </w:r>
    </w:p>
    <w:p w14:paraId="0A005DF4">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服务标准：</w:t>
      </w:r>
    </w:p>
    <w:p w14:paraId="12C62ACE">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表单填写辅导：需在10分钟内完成对纳税人缴费人相关表单的填写辅导，确保必填项完整、数据准确（如“此栏需填写上月销售额，可参考财务报表第X页”），辅导后表单一次性通过率需达85%以上。</w:t>
      </w:r>
    </w:p>
    <w:p w14:paraId="7C33CE9D">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办税操作辅导：对电子税务局WEB端、社保扣缴客户端等现场操作辅导，需提供图文教程（如“第一步：登录电子税务局，网址为XXX；第二步：点击‘我要办税’→‘申报纳税’”）或操作演示，辅导后纳税人缴费人可独立完成业务操作的比例需达80%以上。</w:t>
      </w:r>
    </w:p>
    <w:p w14:paraId="617CEDA3">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征纳互动推广：宣传、引导纳税人缴费人使用征纳互动办理业务。对电子税务局无法办理的业务，引导人员辅导纳税人通过征纳互动平台在线提交完成业务办理。</w:t>
      </w:r>
    </w:p>
    <w:p w14:paraId="6A31B187">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服务量要求：</w:t>
      </w:r>
    </w:p>
    <w:p w14:paraId="38C68593">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根据往年工作开展情况估算服务体量，平均每日辅导纳税人缴费人不少于30人次，其中办税操作辅导占比不低于40%。</w:t>
      </w:r>
    </w:p>
    <w:p w14:paraId="7430745F">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每月收集纳税人缴费人对辅导服务的反馈（如“辅导效率、操作清晰度”），形成《辅导服务满意度报告》。</w:t>
      </w:r>
    </w:p>
    <w:p w14:paraId="687D9DD4">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4.远程咨询辅导服务</w:t>
      </w:r>
    </w:p>
    <w:p w14:paraId="6DB74979">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服务标准：</w:t>
      </w:r>
    </w:p>
    <w:p w14:paraId="396512F9">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电话咨询：实行首问责任制和限时回复承诺制。</w:t>
      </w:r>
    </w:p>
    <w:p w14:paraId="7ED6EF82">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服务量要求：</w:t>
      </w:r>
    </w:p>
    <w:p w14:paraId="395D3A18">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月接听量按“月平均人接听量”的正负10%为合理区间。</w:t>
      </w:r>
    </w:p>
    <w:p w14:paraId="276A9E6B">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 信息采集录入及资料整理归档服务</w:t>
      </w:r>
    </w:p>
    <w:p w14:paraId="4D547234">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服务标准：</w:t>
      </w:r>
    </w:p>
    <w:p w14:paraId="6C02355F">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数据采集完整性：根据纳税人缴费人提供的申请、申报等表单，需在5分钟内完成数据采集，确保涵盖所有必填字段（如“纳税人名称、税款所属期、应纳税额”），数据采集完整率需达100%。</w:t>
      </w:r>
    </w:p>
    <w:p w14:paraId="0406AB4F">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数据录入准确性：录入系统时需进行二次核对（如“请核对录入的金额是否与表单一致”），确保数据准确率不低于98%，对录入错误需在发现后1小时内修正，并通知纳税人缴费人（如“您的申报数据中金额有误，已为您修正，可重新查看”）。</w:t>
      </w:r>
    </w:p>
    <w:p w14:paraId="4EDCFB71">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信息保密性：在信息采集与录入服务过程中，需严格遵守税务信息安全规定，不得以任何方式泄露所接触和知悉的涉税数据。如发现信息泄露风险需立即上报（如“发现电脑存在病毒风险，已暂停录入并上报技术部门”）。</w:t>
      </w:r>
    </w:p>
    <w:p w14:paraId="74FB8E27">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服务量要求：</w:t>
      </w:r>
    </w:p>
    <w:p w14:paraId="0FC1815E">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根据往年工作开展情况估算服务体量，每月采集录入信息不少于150条。</w:t>
      </w:r>
    </w:p>
    <w:p w14:paraId="7674B4A8">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每月对录入数据进行抽检（抽检比例不低于10%），形成《数据录入质量月报》。</w:t>
      </w:r>
    </w:p>
    <w:p w14:paraId="6947277F">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6. 配合税务部门完成其他辅助服务有关的工作</w:t>
      </w:r>
    </w:p>
    <w:p w14:paraId="03817878">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服务标准：</w:t>
      </w:r>
    </w:p>
    <w:p w14:paraId="6FCAD147">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临时任务响应：接到税务部门临时任务后，需在1小时内响应，并在规定时间内完成任务。</w:t>
      </w:r>
    </w:p>
    <w:p w14:paraId="3E67543F">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服务量要求：</w:t>
      </w:r>
    </w:p>
    <w:p w14:paraId="228D6FB0">
      <w:pPr>
        <w:spacing w:before="0" w:after="0"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每月总结辅助服务工作（如“任务类型、完成情况、存在问题”），形成《辅助服务工作总结》。</w:t>
      </w:r>
    </w:p>
    <w:p w14:paraId="3B52FBC4">
      <w:pPr>
        <w:pStyle w:val="11"/>
        <w:spacing w:before="0" w:after="0" w:line="360" w:lineRule="auto"/>
        <w:ind w:firstLine="560"/>
        <w:rPr>
          <w:highlight w:val="none"/>
        </w:rPr>
      </w:pPr>
      <w:r>
        <w:rPr>
          <w:rFonts w:hint="eastAsia" w:ascii="宋体" w:hAnsi="宋体" w:eastAsia="宋体" w:cs="宋体"/>
          <w:kern w:val="2"/>
          <w:sz w:val="24"/>
          <w:szCs w:val="24"/>
          <w:highlight w:val="none"/>
          <w:lang w:val="en-US" w:eastAsia="zh-CN" w:bidi="ar-SA"/>
        </w:rPr>
        <w:t>7.非工作时间如因工作需要延时服务，应予以配合，采购人不再额外支付服务费用。服务场所须具备所有对外窗口在服务时间内的同时对外服务能力。</w:t>
      </w: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HarmonyOS Sans"/>
    <w:panose1 w:val="02020603050405020304"/>
    <w:charset w:val="86"/>
    <w:family w:val="auto"/>
    <w:pitch w:val="default"/>
    <w:sig w:usb0="00000000" w:usb1="00000000" w:usb2="00000009" w:usb3="00000000" w:csb0="400001FF" w:csb1="FFFF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HarmonyOS Sans"/>
    <w:panose1 w:val="020B0604020202020204"/>
    <w:charset w:val="01"/>
    <w:family w:val="swiss"/>
    <w:pitch w:val="default"/>
    <w:sig w:usb0="E0002AFF" w:usb1="C0007843" w:usb2="00000009" w:usb3="00000000" w:csb0="400001FF" w:csb1="FFFF0000"/>
  </w:font>
  <w:font w:name="黑体">
    <w:altName w:val="Noto Sans CJK SC"/>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HarmonyOS Sans">
    <w:panose1 w:val="00000500000000000000"/>
    <w:charset w:val="00"/>
    <w:family w:val="auto"/>
    <w:pitch w:val="default"/>
    <w:sig w:usb0="A0000287" w:usb1="00000011" w:usb2="00000000" w:usb3="00000000" w:csb0="00000001" w:csb1="00000000"/>
  </w:font>
  <w:font w:name="Calibri">
    <w:altName w:val="HarmonyOS Sans"/>
    <w:panose1 w:val="020F0502020204030204"/>
    <w:charset w:val="00"/>
    <w:family w:val="swiss"/>
    <w:pitch w:val="default"/>
    <w:sig w:usb0="00000000" w:usb1="00000000" w:usb2="00000009" w:usb3="00000000" w:csb0="200001FF" w:csb1="00000000"/>
  </w:font>
  <w:font w:name="书宋-简">
    <w:panose1 w:val="00000500000000000000"/>
    <w:charset w:val="86"/>
    <w:family w:val="auto"/>
    <w:pitch w:val="default"/>
    <w:sig w:usb0="A00002BF" w:usb1="18EF7CFA" w:usb2="00000016" w:usb3="00000000" w:csb0="00040001" w:csb1="00000000"/>
  </w:font>
  <w:font w:name="HarmonyOS Sans SC">
    <w:panose1 w:val="00000500000000000000"/>
    <w:charset w:val="86"/>
    <w:family w:val="auto"/>
    <w:pitch w:val="default"/>
    <w:sig w:usb0="A00002BF" w:usb1="18EF7CFA" w:usb2="00000016" w:usb3="00000000" w:csb0="00040001" w:csb1="00000000"/>
  </w:font>
  <w:font w:name="Noto Sans CJK SC">
    <w:panose1 w:val="020B0500000000000000"/>
    <w:charset w:val="86"/>
    <w:family w:val="auto"/>
    <w:pitch w:val="default"/>
    <w:sig w:usb0="30000083" w:usb1="2BDF3C10" w:usb2="00000016" w:usb3="00000000" w:csb0="602E0107" w:csb1="00000000"/>
  </w:font>
  <w:font w:name="FTToken">
    <w:panose1 w:val="05000000000000000000"/>
    <w:charset w:val="00"/>
    <w:family w:val="auto"/>
    <w:pitch w:val="default"/>
    <w:sig w:usb0="00000000" w:usb1="10000000" w:usb2="00000000" w:usb3="00000000" w:csb0="80000000" w:csb1="00000000"/>
  </w:font>
  <w:font w:name="幼圆">
    <w:altName w:val="Noto Serif CJK JP"/>
    <w:panose1 w:val="02010509060101010101"/>
    <w:charset w:val="86"/>
    <w:family w:val="modern"/>
    <w:pitch w:val="default"/>
    <w:sig w:usb0="00000000" w:usb1="00000000" w:usb2="00000000" w:usb3="00000000" w:csb0="00040000" w:csb1="00000000"/>
  </w:font>
  <w:font w:name="Noto Serif CJK JP">
    <w:panose1 w:val="02020400000000000000"/>
    <w:charset w:val="86"/>
    <w:family w:val="auto"/>
    <w:pitch w:val="default"/>
    <w:sig w:usb0="30000083" w:usb1="2BDF3C10" w:usb2="00000016" w:usb3="00000000" w:csb0="602E0107" w:csb1="00000000"/>
  </w:font>
  <w:font w:name="楷体_GB2312">
    <w:altName w:val="HarmonyOS Sans SC"/>
    <w:panose1 w:val="02010609030101010101"/>
    <w:charset w:val="86"/>
    <w:family w:val="modern"/>
    <w:pitch w:val="default"/>
    <w:sig w:usb0="00000000" w:usb1="00000000" w:usb2="00000000" w:usb3="00000000" w:csb0="00040000" w:csb1="00000000"/>
  </w:font>
  <w:font w:name="汉仪旗黑 L3">
    <w:panose1 w:val="00000500000000000000"/>
    <w:charset w:val="86"/>
    <w:family w:val="auto"/>
    <w:pitch w:val="default"/>
    <w:sig w:usb0="A00002BF" w:usb1="18E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3732771"/>
    <w:rsid w:val="419A2BB9"/>
    <w:rsid w:val="4C8F776F"/>
    <w:rsid w:val="61D86623"/>
    <w:rsid w:val="6403796A"/>
    <w:rsid w:val="65B47DAE"/>
    <w:rsid w:val="ABB9BA90"/>
    <w:rsid w:val="ADEFAB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9"/>
    <w:pPr>
      <w:keepNext/>
      <w:keepLines/>
      <w:spacing w:before="260" w:beforeLines="0" w:after="260" w:afterLines="0" w:line="416" w:lineRule="auto"/>
      <w:jc w:val="center"/>
      <w:outlineLvl w:val="1"/>
    </w:pPr>
    <w:rPr>
      <w:rFonts w:ascii="幼圆" w:hAnsi="Arial" w:eastAsia="楷体_GB2312"/>
      <w:b/>
      <w:kern w:val="0"/>
      <w:sz w:val="44"/>
      <w:szCs w:val="20"/>
    </w:rPr>
  </w:style>
  <w:style w:type="paragraph" w:styleId="4">
    <w:name w:val="heading 3"/>
    <w:basedOn w:val="1"/>
    <w:next w:val="1"/>
    <w:link w:val="10"/>
    <w:qFormat/>
    <w:uiPriority w:val="9"/>
    <w:pPr>
      <w:keepNext/>
      <w:keepLines/>
      <w:spacing w:before="260" w:beforeLines="0" w:after="260" w:afterLines="0" w:line="416" w:lineRule="auto"/>
      <w:outlineLvl w:val="2"/>
    </w:pPr>
    <w:rPr>
      <w:b/>
      <w:kern w:val="0"/>
      <w:sz w:val="32"/>
      <w:szCs w:val="20"/>
    </w:rPr>
  </w:style>
  <w:style w:type="paragraph" w:styleId="5">
    <w:name w:val="heading 4"/>
    <w:basedOn w:val="1"/>
    <w:next w:val="1"/>
    <w:qFormat/>
    <w:uiPriority w:val="1"/>
    <w:pPr>
      <w:jc w:val="center"/>
      <w:outlineLvl w:val="3"/>
    </w:pPr>
    <w:rPr>
      <w:rFonts w:ascii="宋体" w:hAnsi="宋体" w:cs="宋体"/>
      <w:b/>
      <w:bCs/>
      <w:sz w:val="31"/>
      <w:szCs w:val="31"/>
      <w:lang w:val="zh-CN" w:bidi="zh-CN"/>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6">
    <w:name w:val="Body Text"/>
    <w:basedOn w:val="1"/>
    <w:next w:val="1"/>
    <w:qFormat/>
    <w:uiPriority w:val="0"/>
    <w:rPr>
      <w:rFonts w:ascii="楷体_GB2312" w:hAnsi="Arial" w:eastAsia="楷体_GB2312"/>
      <w:sz w:val="28"/>
      <w:szCs w:val="20"/>
    </w:rPr>
  </w:style>
  <w:style w:type="paragraph" w:styleId="7">
    <w:name w:val="toc 2"/>
    <w:basedOn w:val="1"/>
    <w:next w:val="1"/>
    <w:qFormat/>
    <w:uiPriority w:val="39"/>
    <w:pPr>
      <w:ind w:left="420" w:leftChars="200"/>
    </w:pPr>
  </w:style>
  <w:style w:type="character" w:customStyle="1" w:styleId="10">
    <w:name w:val="标题 3 字符"/>
    <w:link w:val="4"/>
    <w:qFormat/>
    <w:uiPriority w:val="9"/>
    <w:rPr>
      <w:b/>
      <w:kern w:val="0"/>
      <w:sz w:val="32"/>
      <w:szCs w:val="20"/>
    </w:rPr>
  </w:style>
  <w:style w:type="paragraph" w:customStyle="1" w:styleId="11">
    <w:name w:val="15"/>
    <w:basedOn w:val="1"/>
    <w:qFormat/>
    <w:uiPriority w:val="0"/>
  </w:style>
  <w:style w:type="paragraph" w:customStyle="1" w:styleId="12">
    <w:name w:val="MsoNormal"/>
    <w:basedOn w:val="1"/>
    <w:qFormat/>
    <w:uiPriority w:val="0"/>
  </w:style>
  <w:style w:type="paragraph" w:customStyle="1" w:styleId="13">
    <w:name w:val="16"/>
    <w:basedOn w:val="1"/>
    <w:qFormat/>
    <w:uiPriority w:val="0"/>
  </w:style>
  <w:style w:type="paragraph" w:customStyle="1" w:styleId="14">
    <w:name w:val="17"/>
    <w:basedOn w:val="1"/>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8147</Words>
  <Characters>8495</Characters>
  <Lines>0</Lines>
  <Paragraphs>0</Paragraphs>
  <TotalTime>0</TotalTime>
  <ScaleCrop>false</ScaleCrop>
  <LinksUpToDate>false</LinksUpToDate>
  <CharactersWithSpaces>8510</CharactersWithSpaces>
  <Application>WPS Office_12.9.0.27978_F1E327BC-269C-435d-A152-05C5408002CA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2026-08-18T16:24:00Z</dcterms:created>
  <dc:creator>61610</dc:creator>
  <cp:lastModifiedBy>亚男</cp:lastModifiedBy>
  <dcterms:modified xsi:type="dcterms:W3CDTF">2026-08-19T17:33:01Z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2052-12.9.0.27978</vt:lpwstr>
  </property>
  <property fmtid="{D5CDD505-2E9C-101B-9397-08002B2CF9AE}" pid="3" name="KSOTemplateDocerSaveRecord">
    <vt:lpwstr>eyJoZGlkIjoiZDcwN2NlYWE2YjRhMDM0MjJmYTZiMDViYjBiODQxNjYiLCJ1c2VySWQiOiIxMTAzMjEzNjk2In0=</vt:lpwstr>
  </property>
  <property fmtid="{D5CDD505-2E9C-101B-9397-08002B2CF9AE}" pid="4" name="ICV">
    <vt:lpwstr>67075CB02F7569604674856A6D00E346_43</vt:lpwstr>
  </property>
</Properties>
</file>