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6A06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36"/>
          <w:szCs w:val="36"/>
          <w:lang w:eastAsia="zh-CN"/>
        </w:rPr>
      </w:pPr>
      <w:r>
        <w:rPr>
          <w:rFonts w:hint="eastAsia" w:ascii="方正小标宋简体" w:hAnsi="方正小标宋简体" w:eastAsia="方正小标宋简体" w:cs="方正小标宋简体"/>
          <w:color w:val="auto"/>
          <w:sz w:val="36"/>
          <w:szCs w:val="36"/>
          <w:lang w:eastAsia="zh-CN"/>
        </w:rPr>
        <w:t>国家税务总局吕梁市税务局关于优化调整</w:t>
      </w:r>
    </w:p>
    <w:p w14:paraId="6566DA2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36"/>
          <w:szCs w:val="36"/>
          <w:lang w:eastAsia="zh-CN"/>
        </w:rPr>
      </w:pPr>
      <w:r>
        <w:rPr>
          <w:rFonts w:hint="eastAsia" w:ascii="方正小标宋简体" w:hAnsi="方正小标宋简体" w:eastAsia="方正小标宋简体" w:cs="方正小标宋简体"/>
          <w:color w:val="auto"/>
          <w:sz w:val="36"/>
          <w:szCs w:val="36"/>
          <w:lang w:eastAsia="zh-CN"/>
        </w:rPr>
        <w:t>房地产开发项目</w:t>
      </w:r>
      <w:r>
        <w:rPr>
          <w:rFonts w:hint="eastAsia" w:ascii="方正小标宋简体" w:hAnsi="方正小标宋简体" w:eastAsia="方正小标宋简体" w:cs="方正小标宋简体"/>
          <w:color w:val="auto"/>
          <w:sz w:val="36"/>
          <w:szCs w:val="36"/>
          <w:lang w:eastAsia="zh-CN"/>
        </w:rPr>
        <w:t>土地增值税核定征收率的公告</w:t>
      </w:r>
    </w:p>
    <w:p w14:paraId="64679A7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36"/>
          <w:szCs w:val="36"/>
          <w:lang w:val="en-US" w:eastAsia="zh-CN"/>
        </w:rPr>
      </w:pPr>
      <w:r>
        <w:rPr>
          <w:rFonts w:hint="eastAsia" w:ascii="方正小标宋简体" w:hAnsi="方正小标宋简体" w:eastAsia="方正小标宋简体" w:cs="方正小标宋简体"/>
          <w:color w:val="auto"/>
          <w:sz w:val="36"/>
          <w:szCs w:val="36"/>
          <w:lang w:val="en-US" w:eastAsia="zh-CN"/>
        </w:rPr>
        <w:t>（征求意见稿）</w:t>
      </w:r>
    </w:p>
    <w:p w14:paraId="410C737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sz w:val="32"/>
          <w:szCs w:val="32"/>
          <w:lang w:val="en-US" w:eastAsia="zh-CN"/>
        </w:rPr>
      </w:pPr>
    </w:p>
    <w:p w14:paraId="428E9C0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eastAsia="zh-CN"/>
        </w:rPr>
      </w:pPr>
      <w:bookmarkStart w:id="0" w:name="_GoBack"/>
      <w:bookmarkEnd w:id="0"/>
    </w:p>
    <w:p w14:paraId="58F3BED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为进一步规范土地增值税核定征收管理，更好地发挥土地增值税核定征收率的调节作用，根据</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国家税务总局关于印发&lt;土地增值税清算管理规程&gt;的通知</w:t>
      </w:r>
      <w:r>
        <w:rPr>
          <w:rFonts w:hint="eastAsia" w:ascii="仿宋_GB2312" w:hAnsi="仿宋_GB2312" w:eastAsia="仿宋_GB2312" w:cs="仿宋_GB2312"/>
          <w:color w:val="auto"/>
          <w:sz w:val="32"/>
          <w:szCs w:val="32"/>
          <w:lang w:val="en-US" w:eastAsia="zh-CN"/>
        </w:rPr>
        <w:t>》（国税发〔2009〕91号）和《山西省地方税务局关于发布</w:t>
      </w:r>
      <w:r>
        <w:rPr>
          <w:rFonts w:hint="default" w:ascii="仿宋_GB2312" w:hAnsi="仿宋_GB2312" w:eastAsia="仿宋_GB2312" w:cs="仿宋_GB2312"/>
          <w:color w:val="auto"/>
          <w:sz w:val="32"/>
          <w:szCs w:val="32"/>
          <w:lang w:val="en-US" w:eastAsia="zh-CN"/>
        </w:rPr>
        <w:t>&lt;</w:t>
      </w:r>
      <w:r>
        <w:rPr>
          <w:rFonts w:hint="eastAsia" w:ascii="仿宋_GB2312" w:hAnsi="仿宋_GB2312" w:eastAsia="仿宋_GB2312" w:cs="仿宋_GB2312"/>
          <w:color w:val="auto"/>
          <w:sz w:val="32"/>
          <w:szCs w:val="32"/>
          <w:lang w:val="en-US" w:eastAsia="zh-CN"/>
        </w:rPr>
        <w:t>房地产开发企业土地增值税清算管理办法</w:t>
      </w:r>
      <w:r>
        <w:rPr>
          <w:rFonts w:hint="default" w:ascii="仿宋_GB2312" w:hAnsi="仿宋_GB2312" w:eastAsia="仿宋_GB2312" w:cs="仿宋_GB2312"/>
          <w:color w:val="auto"/>
          <w:sz w:val="32"/>
          <w:szCs w:val="32"/>
          <w:lang w:val="en-US" w:eastAsia="zh-CN"/>
        </w:rPr>
        <w:t>&gt;</w:t>
      </w:r>
      <w:r>
        <w:rPr>
          <w:rFonts w:hint="eastAsia" w:ascii="仿宋_GB2312" w:hAnsi="仿宋_GB2312" w:eastAsia="仿宋_GB2312" w:cs="仿宋_GB2312"/>
          <w:color w:val="auto"/>
          <w:sz w:val="32"/>
          <w:szCs w:val="32"/>
          <w:lang w:val="en-US" w:eastAsia="zh-CN"/>
        </w:rPr>
        <w:t>的公告》（2014年第3号，2015年第6号公告部分修订，2018年第6号公告修改）有关要求，现将吕梁市不同房地产类型土地增值税核定征收率优化调整有关事项公告如下：</w:t>
      </w:r>
    </w:p>
    <w:p w14:paraId="16005CC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jc w:val="both"/>
        <w:textAlignment w:val="auto"/>
        <w:rPr>
          <w:rFonts w:hint="eastAsia" w:ascii="国标黑体" w:hAnsi="国标黑体" w:eastAsia="国标黑体" w:cs="国标黑体"/>
          <w:color w:val="auto"/>
          <w:sz w:val="32"/>
          <w:szCs w:val="32"/>
          <w:lang w:eastAsia="zh-CN"/>
        </w:rPr>
      </w:pPr>
      <w:r>
        <w:rPr>
          <w:rFonts w:hint="eastAsia" w:ascii="国标黑体" w:hAnsi="国标黑体" w:eastAsia="国标黑体" w:cs="国标黑体"/>
          <w:color w:val="auto"/>
          <w:sz w:val="32"/>
          <w:szCs w:val="32"/>
          <w:lang w:eastAsia="zh-CN"/>
        </w:rPr>
        <w:t>一、关于确定核定征收率的方式</w:t>
      </w:r>
    </w:p>
    <w:p w14:paraId="0E401AD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对于实行核定征收的项目，不再适用固定征收率，由主管税务机关对该项目按规定进行税负率测算，按测算税负率、预征率、核定征收率下限孰高原则确定项目的核定征收率。</w:t>
      </w:r>
    </w:p>
    <w:p w14:paraId="214DA01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jc w:val="both"/>
        <w:textAlignment w:val="auto"/>
        <w:rPr>
          <w:rFonts w:hint="eastAsia" w:ascii="国标黑体" w:hAnsi="国标黑体" w:eastAsia="国标黑体" w:cs="国标黑体"/>
          <w:color w:val="auto"/>
          <w:sz w:val="32"/>
          <w:szCs w:val="32"/>
          <w:lang w:eastAsia="zh-CN"/>
        </w:rPr>
      </w:pPr>
      <w:r>
        <w:rPr>
          <w:rFonts w:hint="eastAsia" w:ascii="国标黑体" w:hAnsi="国标黑体" w:eastAsia="国标黑体" w:cs="国标黑体"/>
          <w:color w:val="auto"/>
          <w:sz w:val="32"/>
          <w:szCs w:val="32"/>
          <w:lang w:eastAsia="zh-CN"/>
        </w:rPr>
        <w:t>二、关于核定征收率下限</w:t>
      </w:r>
    </w:p>
    <w:p w14:paraId="75169C8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eastAsia="zh-CN"/>
        </w:rPr>
        <w:t>（一）转让小区建筑容积率在</w:t>
      </w:r>
      <w:r>
        <w:rPr>
          <w:rFonts w:hint="eastAsia" w:ascii="仿宋_GB2312" w:hAnsi="仿宋_GB2312" w:eastAsia="仿宋_GB2312" w:cs="仿宋_GB2312"/>
          <w:color w:val="auto"/>
          <w:sz w:val="32"/>
          <w:szCs w:val="32"/>
          <w:lang w:val="en-US" w:eastAsia="zh-CN"/>
        </w:rPr>
        <w:t>1.0以上且单套建筑面积在144平方米以下的住宅，核定征收率下限为5%。</w:t>
      </w:r>
    </w:p>
    <w:p w14:paraId="2BC8FE2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（二）转让除第（一）项规定以外的其他住宅（不含别墅），核定征收率下限为6%。</w:t>
      </w:r>
    </w:p>
    <w:p w14:paraId="3BF37A7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（三）转让别墅及</w:t>
      </w:r>
      <w:r>
        <w:rPr>
          <w:rFonts w:hint="eastAsia" w:ascii="仿宋_GB2312" w:hAnsi="仿宋_GB2312" w:eastAsia="仿宋_GB2312" w:cs="仿宋_GB2312"/>
          <w:color w:val="auto"/>
          <w:sz w:val="32"/>
          <w:szCs w:val="32"/>
          <w:highlight w:val="none"/>
        </w:rPr>
        <w:t>其他</w:t>
      </w:r>
      <w:r>
        <w:rPr>
          <w:rFonts w:hint="eastAsia" w:ascii="仿宋_GB2312" w:hAnsi="仿宋_GB2312" w:eastAsia="仿宋_GB2312" w:cs="仿宋_GB2312"/>
          <w:color w:val="auto"/>
          <w:sz w:val="32"/>
          <w:szCs w:val="32"/>
          <w:highlight w:val="none"/>
          <w:lang w:eastAsia="zh-CN"/>
        </w:rPr>
        <w:t>类型房地产</w:t>
      </w:r>
      <w:r>
        <w:rPr>
          <w:rFonts w:hint="eastAsia" w:ascii="仿宋_GB2312" w:hAnsi="仿宋_GB2312" w:eastAsia="仿宋_GB2312" w:cs="仿宋_GB2312"/>
          <w:color w:val="auto"/>
          <w:sz w:val="32"/>
          <w:szCs w:val="32"/>
          <w:lang w:eastAsia="zh-CN"/>
        </w:rPr>
        <w:t>，核定征收率下限为</w:t>
      </w:r>
      <w:r>
        <w:rPr>
          <w:rFonts w:hint="eastAsia" w:ascii="仿宋_GB2312" w:hAnsi="仿宋_GB2312" w:eastAsia="仿宋_GB2312" w:cs="仿宋_GB2312"/>
          <w:color w:val="auto"/>
          <w:sz w:val="32"/>
          <w:szCs w:val="32"/>
          <w:lang w:val="en-US" w:eastAsia="zh-CN"/>
        </w:rPr>
        <w:t>7%。</w:t>
      </w:r>
    </w:p>
    <w:p w14:paraId="391241F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本公告自发布之日起施行。公告施行后尚未出具清算结论通知书的核定征收项目，适用本公告。《</w:t>
      </w:r>
      <w:r>
        <w:rPr>
          <w:rFonts w:hint="eastAsia" w:ascii="仿宋_GB2312" w:hAnsi="仿宋_GB2312" w:eastAsia="仿宋_GB2312" w:cs="仿宋_GB2312"/>
          <w:sz w:val="32"/>
          <w:szCs w:val="32"/>
          <w:lang w:eastAsia="zh-CN"/>
        </w:rPr>
        <w:t>国家税务总局吕梁市税务局关于重新发布土地增值税预征率和土地增值税核定征收率的公告</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2018年第7号</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第二条</w:t>
      </w:r>
      <w:r>
        <w:rPr>
          <w:rFonts w:hint="eastAsia" w:ascii="仿宋_GB2312" w:hAnsi="仿宋_GB2312" w:eastAsia="仿宋_GB2312" w:cs="仿宋_GB2312"/>
          <w:sz w:val="32"/>
          <w:szCs w:val="32"/>
        </w:rPr>
        <w:t>同时废止。</w:t>
      </w:r>
    </w:p>
    <w:p w14:paraId="6A3F949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特此公告。</w:t>
      </w:r>
    </w:p>
    <w:p w14:paraId="3F85AA6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p>
    <w:p w14:paraId="7523D64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3840" w:firstLineChars="1200"/>
        <w:jc w:val="both"/>
        <w:textAlignment w:val="auto"/>
        <w:rPr>
          <w:rFonts w:hint="eastAsia" w:ascii="仿宋_GB2312" w:hAnsi="仿宋_GB2312" w:eastAsia="仿宋_GB2312" w:cs="仿宋_GB2312"/>
          <w:color w:val="auto"/>
          <w:sz w:val="32"/>
          <w:szCs w:val="32"/>
          <w:lang w:val="en-US" w:eastAsia="zh-CN"/>
        </w:rPr>
      </w:pPr>
    </w:p>
    <w:p w14:paraId="777FD07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3840" w:firstLineChars="1200"/>
        <w:jc w:val="both"/>
        <w:textAlignment w:val="auto"/>
        <w:rPr>
          <w:rFonts w:hint="eastAsia" w:ascii="仿宋_GB2312" w:hAnsi="仿宋_GB2312" w:eastAsia="仿宋_GB2312" w:cs="仿宋_GB2312"/>
          <w:color w:val="auto"/>
          <w:sz w:val="32"/>
          <w:szCs w:val="32"/>
          <w:lang w:val="en-US" w:eastAsia="zh-CN"/>
        </w:rPr>
      </w:pPr>
    </w:p>
    <w:p w14:paraId="7432E27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3840" w:firstLineChars="1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国家税务总局吕梁市税务局</w:t>
      </w:r>
    </w:p>
    <w:p w14:paraId="441460A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480" w:firstLineChars="14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2026年8月19日</w:t>
      </w:r>
    </w:p>
    <w:p w14:paraId="19E6F60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val="en-US" w:eastAsia="zh-CN"/>
        </w:rPr>
      </w:pPr>
    </w:p>
    <w:p w14:paraId="283AB397">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p>
    <w:sectPr>
      <w:footerReference r:id="rId3" w:type="default"/>
      <w:pgSz w:w="11906" w:h="16838"/>
      <w:pgMar w:top="1440" w:right="1457" w:bottom="1440" w:left="157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国标黑体">
    <w:panose1 w:val="020005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01BF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DA110A">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BDA110A">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A102B0"/>
    <w:rsid w:val="0DDF67EE"/>
    <w:rsid w:val="0FDE4886"/>
    <w:rsid w:val="14220445"/>
    <w:rsid w:val="1F5974FD"/>
    <w:rsid w:val="35362418"/>
    <w:rsid w:val="355A09BE"/>
    <w:rsid w:val="3E056E4A"/>
    <w:rsid w:val="483B4E02"/>
    <w:rsid w:val="4EF56DE9"/>
    <w:rsid w:val="53D1493B"/>
    <w:rsid w:val="54393000"/>
    <w:rsid w:val="5CFBF9E1"/>
    <w:rsid w:val="5ED864A3"/>
    <w:rsid w:val="5FF5D83E"/>
    <w:rsid w:val="6046764A"/>
    <w:rsid w:val="6FA102B0"/>
    <w:rsid w:val="73C73870"/>
    <w:rsid w:val="75FEC318"/>
    <w:rsid w:val="77722B8E"/>
    <w:rsid w:val="77FD5D1C"/>
    <w:rsid w:val="77FD830B"/>
    <w:rsid w:val="7D4F0BDC"/>
    <w:rsid w:val="7DBDB258"/>
    <w:rsid w:val="7EA134C3"/>
    <w:rsid w:val="7EFFA415"/>
    <w:rsid w:val="7F5F10C3"/>
    <w:rsid w:val="7FBEC93A"/>
    <w:rsid w:val="7FD748FD"/>
    <w:rsid w:val="97FF4732"/>
    <w:rsid w:val="99DDBDEC"/>
    <w:rsid w:val="9F7F2440"/>
    <w:rsid w:val="BF769C4F"/>
    <w:rsid w:val="DEFF6A4A"/>
    <w:rsid w:val="EF9D72CF"/>
    <w:rsid w:val="FCEB8AEE"/>
    <w:rsid w:val="FF6BCD34"/>
    <w:rsid w:val="FFFCBC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5d9b59d2-34f4-43a8-a943-d8bf019212e0</errorID>
      <errorWord xmlns="http://schemas.wps.cn/vas-ai-hub/contract-review">第一条</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本条第（一）项</item>
      </candidateList>
      <explain xmlns="http://schemas.wps.cn/vas-ai-hub/contract-review">指代歧义，前文中的核定征收率下限条款属于“二、关于核定征收率下限”下的第（一）项，此处的“第一条”属于指代错误，应明确为“本条第（一）项”，避免指向章节层面的“一、关于确定核定征收率的方式”。</explain>
      <paraID xmlns="http://schemas.wps.cn/vas-ai-hub/contract-review">2BC8FE2D</paraID>
      <start xmlns="http://schemas.wps.cn/vas-ai-hub/contract-review">6</start>
      <end xmlns="http://schemas.wps.cn/vas-ai-hub/contract-review">13</end>
      <status xmlns="http://schemas.wps.cn/vas-ai-hub/contract-review">modified</status>
      <modifiedWord xmlns="http://schemas.wps.cn/vas-ai-hub/contract-review">本条第（一）项</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6a1481-abe8-42ee-9d89-b597577d3a70}">
  <ds:schemaRefs/>
</ds:datastoreItem>
</file>

<file path=docProps/app.xml><?xml version="1.0" encoding="utf-8"?>
<Properties xmlns="http://schemas.openxmlformats.org/officeDocument/2006/extended-properties" xmlns:vt="http://schemas.openxmlformats.org/officeDocument/2006/docPropsVTypes">
  <Template>Normal.dotm</Template>
  <Pages>2</Pages>
  <Words>574</Words>
  <Characters>597</Characters>
  <Lines>0</Lines>
  <Paragraphs>0</Paragraphs>
  <TotalTime>0</TotalTime>
  <ScaleCrop>false</ScaleCrop>
  <LinksUpToDate>false</LinksUpToDate>
  <CharactersWithSpaces>600</CharactersWithSpaces>
  <Application>WPS Office_12.1.2.24731_F1E327BC-269C-435d-A152-05C5408002CA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2025-06-24T11:41:00Z</dcterms:created>
  <dc:creator>刘云秀</dc:creator>
  <cp:lastModifiedBy>greatwall</cp:lastModifiedBy>
  <cp:lastPrinted>2026-08-15T15:11:00Z</cp:lastPrinted>
  <dcterms:modified xsi:type="dcterms:W3CDTF">2026-08-19T16:08:07Z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2052-12.1.2.24731</vt:lpwstr>
  </property>
  <property fmtid="{D5CDD505-2E9C-101B-9397-08002B2CF9AE}" pid="3" name="KSOTemplateDocerSaveRecord">
    <vt:lpwstr>eyJoZGlkIjoiNDkwZWI1NGIyNDc4MTc5NDdiZTNmNGIzY2U5ZGU3ZmQiLCJ1c2VySWQiOiIzOTUwOTMwIn0=</vt:lpwstr>
  </property>
  <property fmtid="{D5CDD505-2E9C-101B-9397-08002B2CF9AE}" pid="4" name="ICV">
    <vt:lpwstr>596C5924395D4F8B8AAD983115F032D4_12</vt:lpwstr>
  </property>
</Properties>
</file>