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C58DC">
      <w:pPr>
        <w:keepNext w:val="0"/>
        <w:keepLines w:val="0"/>
        <w:pageBreakBefore w:val="0"/>
        <w:widowControl w:val="0"/>
        <w:kinsoku/>
        <w:wordWrap/>
        <w:overflowPunct/>
        <w:topLinePunct w:val="0"/>
        <w:autoSpaceDE/>
        <w:autoSpaceDN/>
        <w:bidi w:val="0"/>
        <w:adjustRightInd/>
        <w:snapToGrid/>
        <w:jc w:val="both"/>
        <w:textAlignment w:val="auto"/>
        <w:rPr>
          <w:rFonts w:hint="eastAsia" w:ascii="方正黑体_GBK" w:hAnsi="方正黑体_GBK" w:eastAsia="方正黑体_GBK" w:cs="方正黑体_GBK"/>
          <w:sz w:val="32"/>
          <w:szCs w:val="32"/>
          <w:lang w:val="en" w:eastAsia="zh-CN"/>
        </w:rPr>
      </w:pPr>
    </w:p>
    <w:p w14:paraId="74B0F9D8">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color w:val="auto"/>
          <w:sz w:val="44"/>
          <w:szCs w:val="44"/>
          <w:lang w:eastAsia="zh-CN"/>
        </w:rPr>
        <w:t>国家税务总局大同市税务局关于优化调整房地产开发项目土地增值税核定征收率的公告</w:t>
      </w:r>
      <w:r>
        <w:rPr>
          <w:rFonts w:hint="eastAsia" w:ascii="方正小标宋简体" w:hAnsi="方正小标宋简体" w:eastAsia="方正小标宋简体" w:cs="方正小标宋简体"/>
          <w:color w:val="auto"/>
          <w:sz w:val="44"/>
          <w:szCs w:val="44"/>
          <w:lang w:val="en-US" w:eastAsia="zh-CN"/>
        </w:rPr>
        <w:t>（征求意见稿）</w:t>
      </w: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的解读</w:t>
      </w:r>
    </w:p>
    <w:p w14:paraId="62771C9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4C826B8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现就《国家税务总局大同市税务局关于优化调整</w:t>
      </w:r>
      <w:r>
        <w:rPr>
          <w:rFonts w:hint="eastAsia" w:ascii="仿宋_GB2312" w:hAnsi="仿宋_GB2312" w:eastAsia="仿宋_GB2312" w:cs="仿宋_GB2312"/>
          <w:sz w:val="32"/>
          <w:szCs w:val="32"/>
          <w:lang w:eastAsia="zh-CN"/>
        </w:rPr>
        <w:t>房地产开发项目</w:t>
      </w:r>
      <w:r>
        <w:rPr>
          <w:rFonts w:hint="eastAsia" w:ascii="仿宋_GB2312" w:hAnsi="仿宋_GB2312" w:eastAsia="仿宋_GB2312" w:cs="仿宋_GB2312"/>
          <w:sz w:val="32"/>
          <w:szCs w:val="32"/>
        </w:rPr>
        <w:t>土地增值税核定征收率的公告》（以下简称《公告》）解读如下：</w:t>
      </w:r>
    </w:p>
    <w:p w14:paraId="214A502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一、《公告》</w:t>
      </w:r>
      <w:r>
        <w:rPr>
          <w:rFonts w:hint="eastAsia" w:ascii="黑体" w:hAnsi="黑体" w:eastAsia="黑体" w:cs="黑体"/>
          <w:b w:val="0"/>
          <w:bCs/>
          <w:sz w:val="32"/>
          <w:szCs w:val="32"/>
          <w:lang w:eastAsia="zh-CN"/>
        </w:rPr>
        <w:t>制定</w:t>
      </w:r>
      <w:r>
        <w:rPr>
          <w:rFonts w:hint="eastAsia" w:ascii="黑体" w:hAnsi="黑体" w:eastAsia="黑体" w:cs="黑体"/>
          <w:b w:val="0"/>
          <w:bCs/>
          <w:sz w:val="32"/>
          <w:szCs w:val="32"/>
        </w:rPr>
        <w:t>背景</w:t>
      </w:r>
    </w:p>
    <w:p w14:paraId="45FB01F2">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为进一步规范土地增值税核定征收管理，更好地发挥土地增值税核定征收率的调节作用，根据总局、</w:t>
      </w:r>
      <w:bookmarkStart w:id="0" w:name="_GoBack"/>
      <w:bookmarkEnd w:id="0"/>
      <w:r>
        <w:rPr>
          <w:rFonts w:hint="eastAsia" w:ascii="仿宋_GB2312" w:hAnsi="仿宋_GB2312" w:eastAsia="仿宋_GB2312" w:cs="仿宋_GB2312"/>
          <w:color w:val="auto"/>
          <w:sz w:val="32"/>
          <w:szCs w:val="32"/>
          <w:lang w:eastAsia="zh-CN"/>
        </w:rPr>
        <w:t>省局相关文件要求，结合大同市实际，对目前采用固定征收率核定征收土地增值税的方式进行优化调整，</w:t>
      </w:r>
      <w:r>
        <w:rPr>
          <w:rFonts w:hint="eastAsia" w:ascii="仿宋_GB2312" w:hAnsi="仿宋_GB2312" w:eastAsia="仿宋_GB2312" w:cs="仿宋_GB2312"/>
          <w:sz w:val="32"/>
          <w:szCs w:val="32"/>
          <w:lang w:eastAsia="zh-CN"/>
        </w:rPr>
        <w:t>国家税务总局大同市税务局</w:t>
      </w:r>
      <w:r>
        <w:rPr>
          <w:rFonts w:hint="eastAsia" w:ascii="仿宋_GB2312" w:hAnsi="仿宋_GB2312" w:eastAsia="仿宋_GB2312" w:cs="仿宋_GB2312"/>
          <w:sz w:val="32"/>
          <w:szCs w:val="32"/>
          <w:lang w:val="en-US" w:eastAsia="zh-CN"/>
        </w:rPr>
        <w:t>制发本</w:t>
      </w:r>
      <w:r>
        <w:rPr>
          <w:rFonts w:hint="eastAsia" w:ascii="仿宋_GB2312" w:hAnsi="仿宋_GB2312" w:eastAsia="仿宋_GB2312" w:cs="仿宋_GB2312"/>
          <w:sz w:val="32"/>
          <w:szCs w:val="32"/>
        </w:rPr>
        <w:t>《公告》</w:t>
      </w:r>
      <w:r>
        <w:rPr>
          <w:rFonts w:hint="eastAsia" w:ascii="仿宋_GB2312" w:hAnsi="仿宋_GB2312" w:eastAsia="仿宋_GB2312" w:cs="仿宋_GB2312"/>
          <w:sz w:val="32"/>
          <w:szCs w:val="32"/>
          <w:lang w:val="en-US" w:eastAsia="zh-CN"/>
        </w:rPr>
        <w:t>。</w:t>
      </w:r>
    </w:p>
    <w:p w14:paraId="7D228074">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《公告》的主要内容</w:t>
      </w:r>
    </w:p>
    <w:p w14:paraId="175CE304">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(一）对于核定征收土地增值税的</w:t>
      </w:r>
      <w:r>
        <w:rPr>
          <w:rFonts w:hint="eastAsia" w:ascii="仿宋_GB2312" w:hAnsi="仿宋_GB2312" w:eastAsia="仿宋_GB2312" w:cs="仿宋_GB2312"/>
          <w:color w:val="auto"/>
          <w:sz w:val="32"/>
          <w:szCs w:val="32"/>
          <w:lang w:eastAsia="zh-CN"/>
        </w:rPr>
        <w:t>房地产开发</w:t>
      </w:r>
      <w:r>
        <w:rPr>
          <w:rFonts w:hint="eastAsia" w:ascii="仿宋_GB2312" w:hAnsi="仿宋_GB2312" w:eastAsia="仿宋_GB2312" w:cs="仿宋_GB2312"/>
          <w:b w:val="0"/>
          <w:bCs w:val="0"/>
          <w:color w:val="auto"/>
          <w:sz w:val="32"/>
          <w:szCs w:val="32"/>
          <w:lang w:val="en-US" w:eastAsia="zh-CN"/>
        </w:rPr>
        <w:t>项目，主管税务机关应区分不同房地产类型进行税负率测算，按测算税负率、预征率、核定征收率下限孰高原则确定项目的核定征收率。</w:t>
      </w:r>
    </w:p>
    <w:p w14:paraId="7D5707A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（二）核定征收率下限按照不同类型房地产分别确定：</w:t>
      </w:r>
    </w:p>
    <w:p w14:paraId="111C041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1.转让</w:t>
      </w:r>
      <w:r>
        <w:rPr>
          <w:rFonts w:hint="default" w:ascii="仿宋_GB2312" w:hAnsi="仿宋_GB2312" w:eastAsia="仿宋_GB2312" w:cs="仿宋_GB2312"/>
          <w:b w:val="0"/>
          <w:bCs w:val="0"/>
          <w:color w:val="auto"/>
          <w:kern w:val="2"/>
          <w:sz w:val="32"/>
          <w:szCs w:val="32"/>
          <w:lang w:val="en-US" w:eastAsia="zh-CN" w:bidi="ar-SA"/>
        </w:rPr>
        <w:t>建筑容积率在1.0以上</w:t>
      </w:r>
      <w:r>
        <w:rPr>
          <w:rFonts w:hint="eastAsia" w:ascii="仿宋_GB2312" w:hAnsi="仿宋_GB2312" w:eastAsia="仿宋_GB2312" w:cs="仿宋_GB2312"/>
          <w:b w:val="0"/>
          <w:bCs w:val="0"/>
          <w:color w:val="auto"/>
          <w:kern w:val="2"/>
          <w:sz w:val="32"/>
          <w:szCs w:val="32"/>
          <w:lang w:val="en-US" w:eastAsia="zh-CN" w:bidi="ar-SA"/>
        </w:rPr>
        <w:t>且</w:t>
      </w:r>
      <w:r>
        <w:rPr>
          <w:rFonts w:hint="default" w:ascii="仿宋_GB2312" w:hAnsi="仿宋_GB2312" w:eastAsia="仿宋_GB2312" w:cs="仿宋_GB2312"/>
          <w:b w:val="0"/>
          <w:bCs w:val="0"/>
          <w:color w:val="auto"/>
          <w:kern w:val="2"/>
          <w:sz w:val="32"/>
          <w:szCs w:val="32"/>
          <w:lang w:val="en-US" w:eastAsia="zh-CN" w:bidi="ar-SA"/>
        </w:rPr>
        <w:t>单套建筑面积在144平方米以下</w:t>
      </w:r>
      <w:r>
        <w:rPr>
          <w:rFonts w:hint="eastAsia" w:ascii="仿宋_GB2312" w:hAnsi="仿宋_GB2312" w:eastAsia="仿宋_GB2312" w:cs="仿宋_GB2312"/>
          <w:b w:val="0"/>
          <w:bCs w:val="0"/>
          <w:color w:val="auto"/>
          <w:kern w:val="2"/>
          <w:sz w:val="32"/>
          <w:szCs w:val="32"/>
          <w:lang w:val="en-US" w:eastAsia="zh-CN" w:bidi="ar-SA"/>
        </w:rPr>
        <w:t>的住宅，核定征收率下限为5%；</w:t>
      </w:r>
    </w:p>
    <w:p w14:paraId="4D790D6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textAlignment w:val="auto"/>
        <w:rPr>
          <w:rFonts w:hint="default" w:ascii="microsoft yahei" w:hAnsi="microsoft yahei" w:eastAsia="microsoft yahei" w:cs="microsoft yahei"/>
          <w:b w:val="0"/>
          <w:bCs w:val="0"/>
          <w:caps w:val="0"/>
          <w:color w:val="auto"/>
          <w:spacing w:val="0"/>
          <w:sz w:val="24"/>
          <w:szCs w:val="24"/>
          <w:lang w:val="en-US"/>
        </w:rPr>
      </w:pPr>
      <w:r>
        <w:rPr>
          <w:rFonts w:hint="eastAsia" w:ascii="仿宋_GB2312" w:hAnsi="仿宋_GB2312" w:eastAsia="仿宋_GB2312" w:cs="仿宋_GB2312"/>
          <w:b w:val="0"/>
          <w:bCs w:val="0"/>
          <w:color w:val="auto"/>
          <w:kern w:val="2"/>
          <w:sz w:val="32"/>
          <w:szCs w:val="32"/>
          <w:lang w:val="en-US" w:eastAsia="zh-CN" w:bidi="ar-SA"/>
        </w:rPr>
        <w:t>2.转让前一项规定</w:t>
      </w:r>
      <w:r>
        <w:rPr>
          <w:rFonts w:hint="eastAsia" w:ascii="仿宋_GB2312" w:hAnsi="仿宋_GB2312" w:eastAsia="仿宋_GB2312" w:cs="仿宋_GB2312"/>
          <w:b w:val="0"/>
          <w:bCs w:val="0"/>
          <w:color w:val="auto"/>
          <w:sz w:val="32"/>
          <w:szCs w:val="32"/>
          <w:lang w:eastAsia="zh-CN"/>
        </w:rPr>
        <w:t>以外的</w:t>
      </w:r>
      <w:r>
        <w:rPr>
          <w:rFonts w:hint="eastAsia" w:ascii="仿宋_GB2312" w:hAnsi="仿宋_GB2312" w:eastAsia="仿宋_GB2312" w:cs="仿宋_GB2312"/>
          <w:b w:val="0"/>
          <w:bCs w:val="0"/>
          <w:color w:val="auto"/>
          <w:sz w:val="32"/>
          <w:szCs w:val="32"/>
        </w:rPr>
        <w:t>其他</w:t>
      </w:r>
      <w:r>
        <w:rPr>
          <w:rFonts w:hint="eastAsia" w:ascii="仿宋_GB2312" w:hAnsi="仿宋_GB2312" w:eastAsia="仿宋_GB2312" w:cs="仿宋_GB2312"/>
          <w:b w:val="0"/>
          <w:bCs w:val="0"/>
          <w:color w:val="auto"/>
          <w:sz w:val="32"/>
          <w:szCs w:val="32"/>
          <w:lang w:eastAsia="zh-CN"/>
        </w:rPr>
        <w:t>住宅，</w:t>
      </w:r>
      <w:r>
        <w:rPr>
          <w:rFonts w:hint="eastAsia" w:ascii="仿宋_GB2312" w:hAnsi="仿宋_GB2312" w:eastAsia="仿宋_GB2312" w:cs="仿宋_GB2312"/>
          <w:b w:val="0"/>
          <w:bCs w:val="0"/>
          <w:color w:val="auto"/>
          <w:kern w:val="2"/>
          <w:sz w:val="32"/>
          <w:szCs w:val="32"/>
          <w:lang w:val="en-US" w:eastAsia="zh-CN" w:bidi="ar-SA"/>
        </w:rPr>
        <w:t>核定征收率下限为5.5%；</w:t>
      </w:r>
    </w:p>
    <w:p w14:paraId="410308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Style w:val="5"/>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color w:val="auto"/>
          <w:kern w:val="2"/>
          <w:sz w:val="32"/>
          <w:szCs w:val="32"/>
          <w:lang w:val="en-US" w:eastAsia="zh-CN" w:bidi="ar-SA"/>
        </w:rPr>
        <w:t>3.转让</w:t>
      </w:r>
      <w:r>
        <w:rPr>
          <w:rFonts w:hint="eastAsia" w:ascii="仿宋_GB2312" w:hAnsi="仿宋_GB2312" w:eastAsia="仿宋_GB2312" w:cs="仿宋_GB2312"/>
          <w:b w:val="0"/>
          <w:bCs w:val="0"/>
          <w:color w:val="auto"/>
          <w:sz w:val="32"/>
          <w:szCs w:val="32"/>
          <w:lang w:val="en-US" w:eastAsia="zh-CN"/>
        </w:rPr>
        <w:t>其他非住宅类型房地产，</w:t>
      </w:r>
      <w:r>
        <w:rPr>
          <w:rFonts w:hint="eastAsia" w:ascii="仿宋_GB2312" w:hAnsi="仿宋_GB2312" w:eastAsia="仿宋_GB2312" w:cs="仿宋_GB2312"/>
          <w:b w:val="0"/>
          <w:bCs w:val="0"/>
          <w:color w:val="auto"/>
          <w:kern w:val="2"/>
          <w:sz w:val="32"/>
          <w:szCs w:val="32"/>
          <w:lang w:val="en-US" w:eastAsia="zh-CN" w:bidi="ar-SA"/>
        </w:rPr>
        <w:t>核定征收率下限为</w:t>
      </w:r>
      <w:r>
        <w:rPr>
          <w:rStyle w:val="5"/>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6%。</w:t>
      </w:r>
    </w:p>
    <w:p w14:paraId="112F64C1">
      <w:pPr>
        <w:keepNext w:val="0"/>
        <w:keepLines w:val="0"/>
        <w:pageBreakBefore w:val="0"/>
        <w:widowControl/>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w:t>
      </w:r>
      <w:r>
        <w:rPr>
          <w:rFonts w:hint="eastAsia" w:ascii="黑体" w:hAnsi="黑体" w:eastAsia="黑体" w:cs="黑体"/>
          <w:b w:val="0"/>
          <w:bCs w:val="0"/>
          <w:color w:val="333333"/>
          <w:kern w:val="0"/>
          <w:sz w:val="32"/>
          <w:szCs w:val="32"/>
        </w:rPr>
        <w:t>《公告》的施行时间</w:t>
      </w:r>
    </w:p>
    <w:p w14:paraId="79EE57B9">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Style w:val="5"/>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sz w:val="32"/>
          <w:szCs w:val="32"/>
          <w:lang w:eastAsia="zh-CN"/>
        </w:rPr>
        <w:t>为及时优化调整</w:t>
      </w:r>
      <w:r>
        <w:rPr>
          <w:rFonts w:hint="eastAsia" w:ascii="仿宋_GB2312" w:hAnsi="仿宋_GB2312" w:eastAsia="仿宋_GB2312" w:cs="仿宋_GB2312"/>
          <w:sz w:val="32"/>
          <w:szCs w:val="32"/>
          <w:lang w:val="en-US" w:eastAsia="zh-CN"/>
        </w:rPr>
        <w:t>土地增值税</w:t>
      </w:r>
      <w:r>
        <w:rPr>
          <w:rFonts w:hint="eastAsia" w:ascii="仿宋_GB2312" w:hAnsi="仿宋_GB2312" w:eastAsia="仿宋_GB2312" w:cs="仿宋_GB2312"/>
          <w:sz w:val="32"/>
          <w:szCs w:val="32"/>
          <w:lang w:eastAsia="zh-CN"/>
        </w:rPr>
        <w:t>核定征收率，</w:t>
      </w:r>
      <w:r>
        <w:rPr>
          <w:rFonts w:hint="eastAsia" w:ascii="仿宋_GB2312" w:hAnsi="仿宋_GB2312" w:eastAsia="仿宋_GB2312" w:cs="仿宋_GB2312"/>
          <w:sz w:val="32"/>
          <w:szCs w:val="32"/>
        </w:rPr>
        <w:t>本《公告》自</w:t>
      </w:r>
      <w:r>
        <w:rPr>
          <w:rFonts w:hint="eastAsia" w:ascii="仿宋_GB2312" w:hAnsi="仿宋_GB2312" w:eastAsia="仿宋_GB2312" w:cs="仿宋_GB2312"/>
          <w:sz w:val="32"/>
          <w:szCs w:val="32"/>
          <w:lang w:eastAsia="zh-CN"/>
        </w:rPr>
        <w:t>发布之</w:t>
      </w:r>
      <w:r>
        <w:rPr>
          <w:rFonts w:hint="eastAsia" w:ascii="仿宋_GB2312" w:hAnsi="仿宋_GB2312" w:eastAsia="仿宋_GB2312" w:cs="仿宋_GB2312"/>
          <w:sz w:val="32"/>
          <w:szCs w:val="32"/>
        </w:rPr>
        <w:t>日起施行</w:t>
      </w:r>
      <w:r>
        <w:rPr>
          <w:rFonts w:hint="eastAsia" w:ascii="仿宋_GB2312" w:hAnsi="仿宋_GB2312" w:eastAsia="仿宋_GB2312" w:cs="仿宋_GB2312"/>
          <w:sz w:val="32"/>
          <w:szCs w:val="32"/>
          <w:lang w:val="en-US" w:eastAsia="zh-CN"/>
        </w:rPr>
        <w:t>。</w:t>
      </w:r>
      <w:r>
        <w:rPr>
          <w:rStyle w:val="5"/>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公告施行后尚未出具土地增值税清算审核结论的核定征收项目，按照本公告执行。《国家税务总局大同市税务局关于调整房地产开发项目土地增值税核定征收率的公告》（2025年第1号）自本公告施行之日起同时废止。</w:t>
      </w:r>
    </w:p>
    <w:p w14:paraId="38F96DAC">
      <w:pPr>
        <w:keepNext w:val="0"/>
        <w:keepLines w:val="0"/>
        <w:pageBreakBefore w:val="0"/>
        <w:kinsoku/>
        <w:overflowPunct/>
        <w:topLinePunct w:val="0"/>
        <w:autoSpaceDE/>
        <w:autoSpaceDN/>
        <w:bidi w:val="0"/>
        <w:adjustRightInd/>
        <w:snapToGrid/>
        <w:spacing w:line="600" w:lineRule="exact"/>
        <w:ind w:firstLine="640" w:firstLineChars="200"/>
        <w:jc w:val="both"/>
        <w:textAlignment w:val="auto"/>
        <w:rPr>
          <w:rStyle w:val="5"/>
          <w:rFonts w:hint="eastAsia" w:ascii="仿宋_GB2312" w:hAnsi="仿宋_GB2312" w:eastAsia="仿宋_GB2312" w:cs="仿宋_GB2312"/>
          <w:b w:val="0"/>
          <w:bCs/>
          <w:i w:val="0"/>
          <w:iCs w:val="0"/>
          <w:caps w:val="0"/>
          <w:color w:val="auto"/>
          <w:spacing w:val="0"/>
          <w:kern w:val="2"/>
          <w:sz w:val="32"/>
          <w:szCs w:val="32"/>
          <w:shd w:val="clear" w:fill="FFFFFF"/>
          <w:lang w:val="en-US" w:eastAsia="zh-CN" w:bidi="ar-SA"/>
        </w:rPr>
      </w:pPr>
    </w:p>
    <w:p w14:paraId="59E98BB6">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Style w:val="5"/>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p>
    <w:p w14:paraId="2F10660E">
      <w:pPr>
        <w:keepNext w:val="0"/>
        <w:keepLines w:val="0"/>
        <w:pageBreakBefore w:val="0"/>
        <w:kinsoku/>
        <w:overflowPunct/>
        <w:topLinePunct w:val="0"/>
        <w:autoSpaceDE/>
        <w:autoSpaceDN/>
        <w:bidi w:val="0"/>
        <w:adjustRightInd/>
        <w:snapToGrid/>
        <w:spacing w:line="600" w:lineRule="exact"/>
        <w:ind w:firstLine="640" w:firstLineChars="200"/>
        <w:jc w:val="both"/>
        <w:textAlignment w:val="auto"/>
        <w:rPr>
          <w:rStyle w:val="5"/>
          <w:rFonts w:hint="eastAsia" w:ascii="仿宋_GB2312" w:hAnsi="仿宋_GB2312" w:eastAsia="仿宋_GB2312" w:cs="仿宋_GB2312"/>
          <w:b w:val="0"/>
          <w:bCs/>
          <w:i w:val="0"/>
          <w:iCs w:val="0"/>
          <w:caps w:val="0"/>
          <w:color w:val="auto"/>
          <w:spacing w:val="0"/>
          <w:kern w:val="2"/>
          <w:sz w:val="32"/>
          <w:szCs w:val="32"/>
          <w:shd w:val="clear" w:fill="FFFFFF"/>
          <w:lang w:val="en-US" w:eastAsia="zh-CN" w:bidi="ar-SA"/>
        </w:rPr>
      </w:pPr>
    </w:p>
    <w:p w14:paraId="3FB25793">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Style w:val="5"/>
          <w:rFonts w:hint="eastAsia" w:ascii="仿宋_GB2312" w:hAnsi="仿宋_GB2312" w:eastAsia="仿宋_GB2312" w:cs="仿宋_GB2312"/>
          <w:b w:val="0"/>
          <w:bCs/>
          <w:i w:val="0"/>
          <w:iCs w:val="0"/>
          <w:caps w:val="0"/>
          <w:color w:val="auto"/>
          <w:spacing w:val="0"/>
          <w:kern w:val="2"/>
          <w:sz w:val="32"/>
          <w:szCs w:val="32"/>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0E35D"/>
    <w:multiLevelType w:val="singleLevel"/>
    <w:tmpl w:val="86F0E35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04D5E"/>
    <w:rsid w:val="096A4CB2"/>
    <w:rsid w:val="0B5701BB"/>
    <w:rsid w:val="0E380773"/>
    <w:rsid w:val="123B2E8E"/>
    <w:rsid w:val="1A627563"/>
    <w:rsid w:val="1C912949"/>
    <w:rsid w:val="1D590783"/>
    <w:rsid w:val="1FBA493D"/>
    <w:rsid w:val="25E97A83"/>
    <w:rsid w:val="2FD32BBA"/>
    <w:rsid w:val="37065A03"/>
    <w:rsid w:val="42261E6D"/>
    <w:rsid w:val="4AF06FE0"/>
    <w:rsid w:val="4BA92558"/>
    <w:rsid w:val="50A31635"/>
    <w:rsid w:val="562FC5B3"/>
    <w:rsid w:val="58E7B300"/>
    <w:rsid w:val="5FC04D5E"/>
    <w:rsid w:val="62B28D3C"/>
    <w:rsid w:val="637A0789"/>
    <w:rsid w:val="67FEC900"/>
    <w:rsid w:val="6DFE8702"/>
    <w:rsid w:val="6E7D0756"/>
    <w:rsid w:val="6EFDF4FF"/>
    <w:rsid w:val="6FCFEEC7"/>
    <w:rsid w:val="6FFBA99A"/>
    <w:rsid w:val="7BFFB567"/>
    <w:rsid w:val="7F49F562"/>
    <w:rsid w:val="9DDF4813"/>
    <w:rsid w:val="AEF305B4"/>
    <w:rsid w:val="BEDFF6E5"/>
    <w:rsid w:val="C39D21D4"/>
    <w:rsid w:val="C6FF53ED"/>
    <w:rsid w:val="CEDBAF3A"/>
    <w:rsid w:val="D77B1389"/>
    <w:rsid w:val="D7DEE2A8"/>
    <w:rsid w:val="DB7E53F8"/>
    <w:rsid w:val="DC1DEF41"/>
    <w:rsid w:val="E59E7470"/>
    <w:rsid w:val="E7B8BEBC"/>
    <w:rsid w:val="E7CFC443"/>
    <w:rsid w:val="EFD7EAB9"/>
    <w:rsid w:val="EFFF04B4"/>
    <w:rsid w:val="EFFF2F32"/>
    <w:rsid w:val="F6BF5610"/>
    <w:rsid w:val="FDDBE09A"/>
    <w:rsid w:val="FF4C59EB"/>
    <w:rsid w:val="FFEDEAD2"/>
    <w:rsid w:val="FFEFE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501</Words>
  <Characters>536</Characters>
  <Lines>0</Lines>
  <Paragraphs>0</Paragraphs>
  <TotalTime>0</TotalTime>
  <ScaleCrop>false</ScaleCrop>
  <LinksUpToDate>false</LinksUpToDate>
  <CharactersWithSpaces>568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2025-01-28T03:31:00Z</dcterms:created>
  <dc:creator>田宇</dc:creator>
  <cp:lastModifiedBy>greatwall</cp:lastModifiedBy>
  <cp:lastPrinted>2026-08-14T18:15:00Z</cp:lastPrinted>
  <dcterms:modified xsi:type="dcterms:W3CDTF">2026-08-17T11:33:48Z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48908E1481A847E09CC63579E4877782_11</vt:lpwstr>
  </property>
  <property fmtid="{D5CDD505-2E9C-101B-9397-08002B2CF9AE}" pid="4" name="KSOTemplateDocerSaveRecord">
    <vt:lpwstr>eyJoZGlkIjoiNTJlZGFhMWUzMzk2MmYzYTFkYTE1M2M5ZTMzOWQ1M2YiLCJ1c2VySWQiOiIyNjk2MTk5NTMifQ==</vt:lpwstr>
  </property>
</Properties>
</file>