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D116E">
      <w:pPr>
        <w:keepNext w:val="0"/>
        <w:keepLines w:val="0"/>
        <w:pageBreakBefore w:val="0"/>
        <w:widowControl w:val="0"/>
        <w:kinsoku/>
        <w:wordWrap/>
        <w:overflowPunct/>
        <w:topLinePunct w:val="0"/>
        <w:autoSpaceDE/>
        <w:autoSpaceDN/>
        <w:bidi w:val="0"/>
        <w:adjustRightInd/>
        <w:snapToGrid/>
        <w:jc w:val="left"/>
        <w:textAlignment w:val="auto"/>
        <w:rPr>
          <w:rFonts w:hint="eastAsia" w:ascii="方正黑体_GBK" w:hAnsi="方正黑体_GBK" w:eastAsia="方正黑体_GBK" w:cs="方正黑体_GBK"/>
          <w:sz w:val="32"/>
          <w:szCs w:val="32"/>
          <w:lang w:val="en-US" w:eastAsia="zh-CN"/>
        </w:rPr>
      </w:pPr>
    </w:p>
    <w:p w14:paraId="4680EDEA">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国家税务总局大同市税务局关于优化调整</w:t>
      </w:r>
    </w:p>
    <w:p w14:paraId="2B37B66C">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房地产开发项目土地增值税核定征收率的公告</w:t>
      </w:r>
    </w:p>
    <w:p w14:paraId="69F8F903">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color w:val="auto"/>
          <w:sz w:val="44"/>
          <w:szCs w:val="44"/>
          <w:lang w:val="en-US" w:eastAsia="zh-CN"/>
        </w:rPr>
        <w:t>（征求意见稿）</w:t>
      </w:r>
    </w:p>
    <w:p w14:paraId="2631C28D">
      <w:pPr>
        <w:jc w:val="both"/>
        <w:rPr>
          <w:rFonts w:hint="eastAsia" w:ascii="仿宋_GB2312" w:hAnsi="仿宋_GB2312" w:eastAsia="仿宋_GB2312" w:cs="仿宋_GB2312"/>
          <w:sz w:val="32"/>
          <w:szCs w:val="32"/>
          <w:lang w:val="en-US" w:eastAsia="zh-CN"/>
        </w:rPr>
      </w:pPr>
    </w:p>
    <w:p w14:paraId="7FE9ABA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为进一步规范房地产开发</w:t>
      </w:r>
      <w:bookmarkStart w:id="0" w:name="_GoBack"/>
      <w:bookmarkEnd w:id="0"/>
      <w:r>
        <w:rPr>
          <w:rFonts w:hint="eastAsia" w:ascii="仿宋_GB2312" w:hAnsi="仿宋_GB2312" w:eastAsia="仿宋_GB2312" w:cs="仿宋_GB2312"/>
          <w:color w:val="auto"/>
          <w:sz w:val="32"/>
          <w:szCs w:val="32"/>
          <w:lang w:eastAsia="zh-CN"/>
        </w:rPr>
        <w:t>项目土地增值税核定征收管理，更好发挥土地增值税的调节作用，现将大同市房地产开发项目土地增值税核定征收率优化调整如下：</w:t>
      </w:r>
    </w:p>
    <w:p w14:paraId="72ABCBCC">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一、对于核定征收土地增值税的</w:t>
      </w:r>
      <w:r>
        <w:rPr>
          <w:rFonts w:hint="eastAsia" w:ascii="仿宋_GB2312" w:hAnsi="仿宋_GB2312" w:eastAsia="仿宋_GB2312" w:cs="仿宋_GB2312"/>
          <w:color w:val="auto"/>
          <w:sz w:val="32"/>
          <w:szCs w:val="32"/>
          <w:lang w:eastAsia="zh-CN"/>
        </w:rPr>
        <w:t>房地产开发</w:t>
      </w:r>
      <w:r>
        <w:rPr>
          <w:rFonts w:hint="eastAsia" w:ascii="仿宋_GB2312" w:hAnsi="仿宋_GB2312" w:eastAsia="仿宋_GB2312" w:cs="仿宋_GB2312"/>
          <w:b w:val="0"/>
          <w:bCs w:val="0"/>
          <w:color w:val="auto"/>
          <w:sz w:val="32"/>
          <w:szCs w:val="32"/>
          <w:lang w:val="en-US" w:eastAsia="zh-CN"/>
        </w:rPr>
        <w:t>项目，主管税务机关应区分不同房地产类型进行税负率测算，按测算税负率、预征率、核定征收率下限孰高原则确定项目的核定征收率。</w:t>
      </w:r>
    </w:p>
    <w:p w14:paraId="7D5707A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二、核定征收率下限按照不同类型房地产分别确定：</w:t>
      </w:r>
    </w:p>
    <w:p w14:paraId="111C041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b w:val="0"/>
          <w:bCs w:val="0"/>
          <w:color w:val="auto"/>
          <w:kern w:val="2"/>
          <w:sz w:val="32"/>
          <w:szCs w:val="32"/>
          <w:lang w:val="en-US" w:eastAsia="zh-CN" w:bidi="ar-SA"/>
        </w:rPr>
        <w:t>转让</w:t>
      </w:r>
      <w:r>
        <w:rPr>
          <w:rFonts w:hint="default" w:ascii="仿宋_GB2312" w:hAnsi="仿宋_GB2312" w:eastAsia="仿宋_GB2312" w:cs="仿宋_GB2312"/>
          <w:b w:val="0"/>
          <w:bCs w:val="0"/>
          <w:color w:val="auto"/>
          <w:kern w:val="2"/>
          <w:sz w:val="32"/>
          <w:szCs w:val="32"/>
          <w:lang w:val="en-US" w:eastAsia="zh-CN" w:bidi="ar-SA"/>
        </w:rPr>
        <w:t>建筑容积率在1.0以上</w:t>
      </w:r>
      <w:r>
        <w:rPr>
          <w:rFonts w:hint="eastAsia" w:ascii="仿宋_GB2312" w:hAnsi="仿宋_GB2312" w:eastAsia="仿宋_GB2312" w:cs="仿宋_GB2312"/>
          <w:b w:val="0"/>
          <w:bCs w:val="0"/>
          <w:color w:val="auto"/>
          <w:kern w:val="2"/>
          <w:sz w:val="32"/>
          <w:szCs w:val="32"/>
          <w:lang w:val="en-US" w:eastAsia="zh-CN" w:bidi="ar-SA"/>
        </w:rPr>
        <w:t>且</w:t>
      </w:r>
      <w:r>
        <w:rPr>
          <w:rFonts w:hint="default" w:ascii="仿宋_GB2312" w:hAnsi="仿宋_GB2312" w:eastAsia="仿宋_GB2312" w:cs="仿宋_GB2312"/>
          <w:b w:val="0"/>
          <w:bCs w:val="0"/>
          <w:color w:val="auto"/>
          <w:kern w:val="2"/>
          <w:sz w:val="32"/>
          <w:szCs w:val="32"/>
          <w:lang w:val="en-US" w:eastAsia="zh-CN" w:bidi="ar-SA"/>
        </w:rPr>
        <w:t>单套建筑面积在144平方米以下</w:t>
      </w:r>
      <w:r>
        <w:rPr>
          <w:rFonts w:hint="eastAsia" w:ascii="仿宋_GB2312" w:hAnsi="仿宋_GB2312" w:eastAsia="仿宋_GB2312" w:cs="仿宋_GB2312"/>
          <w:b w:val="0"/>
          <w:bCs w:val="0"/>
          <w:color w:val="auto"/>
          <w:kern w:val="2"/>
          <w:sz w:val="32"/>
          <w:szCs w:val="32"/>
          <w:lang w:val="en-US" w:eastAsia="zh-CN" w:bidi="ar-SA"/>
        </w:rPr>
        <w:t>的住宅，核定征收率下限为5%；</w:t>
      </w:r>
    </w:p>
    <w:p w14:paraId="3683BB06">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right="0" w:rightChars="0" w:firstLine="640" w:firstLineChars="200"/>
        <w:textAlignment w:val="auto"/>
        <w:rPr>
          <w:rFonts w:hint="default" w:ascii="microsoft yahei" w:hAnsi="microsoft yahei" w:eastAsia="microsoft yahei" w:cs="microsoft yahei"/>
          <w:b w:val="0"/>
          <w:bCs w:val="0"/>
          <w:caps w:val="0"/>
          <w:color w:val="auto"/>
          <w:spacing w:val="0"/>
          <w:sz w:val="24"/>
          <w:szCs w:val="24"/>
          <w:lang w:val="en-US"/>
        </w:rPr>
      </w:pPr>
      <w:r>
        <w:rPr>
          <w:rFonts w:hint="eastAsia" w:ascii="仿宋_GB2312" w:hAnsi="仿宋_GB2312" w:eastAsia="仿宋_GB2312" w:cs="仿宋_GB2312"/>
          <w:b w:val="0"/>
          <w:bCs w:val="0"/>
          <w:color w:val="auto"/>
          <w:kern w:val="2"/>
          <w:sz w:val="32"/>
          <w:szCs w:val="32"/>
          <w:lang w:val="en-US" w:eastAsia="zh-CN" w:bidi="ar-SA"/>
        </w:rPr>
        <w:t>（二）转让前一项规定</w:t>
      </w:r>
      <w:r>
        <w:rPr>
          <w:rFonts w:hint="eastAsia" w:ascii="仿宋_GB2312" w:hAnsi="仿宋_GB2312" w:eastAsia="仿宋_GB2312" w:cs="仿宋_GB2312"/>
          <w:b w:val="0"/>
          <w:bCs w:val="0"/>
          <w:color w:val="auto"/>
          <w:sz w:val="32"/>
          <w:szCs w:val="32"/>
          <w:lang w:eastAsia="zh-CN"/>
        </w:rPr>
        <w:t>以外的</w:t>
      </w:r>
      <w:r>
        <w:rPr>
          <w:rFonts w:hint="eastAsia" w:ascii="仿宋_GB2312" w:hAnsi="仿宋_GB2312" w:eastAsia="仿宋_GB2312" w:cs="仿宋_GB2312"/>
          <w:b w:val="0"/>
          <w:bCs w:val="0"/>
          <w:color w:val="auto"/>
          <w:sz w:val="32"/>
          <w:szCs w:val="32"/>
        </w:rPr>
        <w:t>其他</w:t>
      </w:r>
      <w:r>
        <w:rPr>
          <w:rFonts w:hint="eastAsia" w:ascii="仿宋_GB2312" w:hAnsi="仿宋_GB2312" w:eastAsia="仿宋_GB2312" w:cs="仿宋_GB2312"/>
          <w:b w:val="0"/>
          <w:bCs w:val="0"/>
          <w:color w:val="auto"/>
          <w:sz w:val="32"/>
          <w:szCs w:val="32"/>
          <w:lang w:eastAsia="zh-CN"/>
        </w:rPr>
        <w:t>住宅，</w:t>
      </w:r>
      <w:r>
        <w:rPr>
          <w:rFonts w:hint="eastAsia" w:ascii="仿宋_GB2312" w:hAnsi="仿宋_GB2312" w:eastAsia="仿宋_GB2312" w:cs="仿宋_GB2312"/>
          <w:b w:val="0"/>
          <w:bCs w:val="0"/>
          <w:color w:val="auto"/>
          <w:kern w:val="2"/>
          <w:sz w:val="32"/>
          <w:szCs w:val="32"/>
          <w:lang w:val="en-US" w:eastAsia="zh-CN" w:bidi="ar-SA"/>
        </w:rPr>
        <w:t>核定征收率下限为5.5%；</w:t>
      </w:r>
    </w:p>
    <w:p w14:paraId="09DA4E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Style w:val="6"/>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（三）转让</w:t>
      </w:r>
      <w:r>
        <w:rPr>
          <w:rFonts w:hint="eastAsia" w:ascii="仿宋_GB2312" w:hAnsi="仿宋_GB2312" w:eastAsia="仿宋_GB2312" w:cs="仿宋_GB2312"/>
          <w:b w:val="0"/>
          <w:bCs w:val="0"/>
          <w:color w:val="auto"/>
          <w:sz w:val="32"/>
          <w:szCs w:val="32"/>
          <w:lang w:val="en-US" w:eastAsia="zh-CN"/>
        </w:rPr>
        <w:t>其他非住宅类型房地产，</w:t>
      </w:r>
      <w:r>
        <w:rPr>
          <w:rFonts w:hint="eastAsia" w:ascii="仿宋_GB2312" w:hAnsi="仿宋_GB2312" w:eastAsia="仿宋_GB2312" w:cs="仿宋_GB2312"/>
          <w:b w:val="0"/>
          <w:bCs w:val="0"/>
          <w:color w:val="auto"/>
          <w:kern w:val="2"/>
          <w:sz w:val="32"/>
          <w:szCs w:val="32"/>
          <w:lang w:val="en-US" w:eastAsia="zh-CN" w:bidi="ar-SA"/>
        </w:rPr>
        <w:t>核定征收率下限为</w:t>
      </w:r>
      <w:r>
        <w:rPr>
          <w:rStyle w:val="6"/>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6%。</w:t>
      </w:r>
    </w:p>
    <w:p w14:paraId="6BDB9EE3">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Style w:val="6"/>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Style w:val="6"/>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本公告自发布之日起施行。公告施行后尚未出具土地增值税清算审核结论的核定征收项目，按照本公告执行。《国家税务总局大同市税务局关于调整房地产开发项目土地增值税核定征收率的公告》（2025年第1号）自本公告施行之日起同时废止。</w:t>
      </w:r>
    </w:p>
    <w:p w14:paraId="2F10660E">
      <w:pPr>
        <w:keepNext w:val="0"/>
        <w:keepLines w:val="0"/>
        <w:pageBreakBefore w:val="0"/>
        <w:kinsoku/>
        <w:overflowPunct/>
        <w:topLinePunct w:val="0"/>
        <w:autoSpaceDE/>
        <w:autoSpaceDN/>
        <w:bidi w:val="0"/>
        <w:adjustRightInd/>
        <w:snapToGrid/>
        <w:spacing w:line="600" w:lineRule="exact"/>
        <w:ind w:firstLine="640" w:firstLineChars="200"/>
        <w:jc w:val="both"/>
        <w:textAlignment w:val="auto"/>
        <w:rPr>
          <w:rStyle w:val="6"/>
          <w:rFonts w:hint="eastAsia" w:ascii="仿宋_GB2312" w:hAnsi="仿宋_GB2312" w:eastAsia="仿宋_GB2312" w:cs="仿宋_GB2312"/>
          <w:b w:val="0"/>
          <w:bCs/>
          <w:i w:val="0"/>
          <w:iCs w:val="0"/>
          <w:caps w:val="0"/>
          <w:color w:val="auto"/>
          <w:spacing w:val="0"/>
          <w:kern w:val="2"/>
          <w:sz w:val="32"/>
          <w:szCs w:val="32"/>
          <w:shd w:val="clear" w:fill="FFFFFF"/>
          <w:lang w:val="en-US" w:eastAsia="zh-CN" w:bidi="ar-SA"/>
        </w:rPr>
      </w:pPr>
    </w:p>
    <w:p w14:paraId="6557C81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FED618B"/>
    <w:rsid w:val="12EE6E36"/>
    <w:rsid w:val="1AFF262F"/>
    <w:rsid w:val="1F33377D"/>
    <w:rsid w:val="1F3A5C97"/>
    <w:rsid w:val="27BF9CD5"/>
    <w:rsid w:val="2F8B3860"/>
    <w:rsid w:val="33F790DE"/>
    <w:rsid w:val="39BD3A39"/>
    <w:rsid w:val="3F7FEC39"/>
    <w:rsid w:val="3FF2043E"/>
    <w:rsid w:val="4A1947CF"/>
    <w:rsid w:val="4F3F055F"/>
    <w:rsid w:val="4FF1B295"/>
    <w:rsid w:val="5FEF4DD9"/>
    <w:rsid w:val="5FF5BFCB"/>
    <w:rsid w:val="617F92AA"/>
    <w:rsid w:val="65FF2AE2"/>
    <w:rsid w:val="6BFCBA78"/>
    <w:rsid w:val="6C97B1E5"/>
    <w:rsid w:val="6ED7FC5E"/>
    <w:rsid w:val="6FB7FE51"/>
    <w:rsid w:val="6FFB7C3E"/>
    <w:rsid w:val="75FF1D8D"/>
    <w:rsid w:val="77FB9E52"/>
    <w:rsid w:val="77FE67BA"/>
    <w:rsid w:val="7A978A77"/>
    <w:rsid w:val="7B771A59"/>
    <w:rsid w:val="7C9FE5CA"/>
    <w:rsid w:val="7E2D71E8"/>
    <w:rsid w:val="7EDC672A"/>
    <w:rsid w:val="7FEF13CE"/>
    <w:rsid w:val="88F7B77A"/>
    <w:rsid w:val="946D5793"/>
    <w:rsid w:val="A7AB24DD"/>
    <w:rsid w:val="BEE937A4"/>
    <w:rsid w:val="BEEFC40E"/>
    <w:rsid w:val="BF133067"/>
    <w:rsid w:val="BFD44A14"/>
    <w:rsid w:val="BFEFF3F4"/>
    <w:rsid w:val="DB417595"/>
    <w:rsid w:val="DE7FBB07"/>
    <w:rsid w:val="DEF5EE35"/>
    <w:rsid w:val="E7CF3B80"/>
    <w:rsid w:val="EAFF397B"/>
    <w:rsid w:val="F3B1521A"/>
    <w:rsid w:val="F5A68E78"/>
    <w:rsid w:val="F5D6860B"/>
    <w:rsid w:val="F5E57C1B"/>
    <w:rsid w:val="F91F5796"/>
    <w:rsid w:val="FBD6F78F"/>
    <w:rsid w:val="FF57B5A7"/>
    <w:rsid w:val="FFF65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27</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2018-07-18T07:11:00Z</dcterms:created>
  <dc:creator>d</dc:creator>
  <cp:lastModifiedBy>greatwall</cp:lastModifiedBy>
  <cp:lastPrinted>2026-08-14T10:15:00Z</cp:lastPrinted>
  <dcterms:modified xsi:type="dcterms:W3CDTF">2026-08-17T11:34:06Z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8DD17DC018C8BA0B9326686A4E00BB43_42</vt:lpwstr>
  </property>
</Properties>
</file>