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overflowPunct w:val="0"/>
        <w:autoSpaceDE w:val="0"/>
        <w:autoSpaceDN w:val="0"/>
        <w:adjustRightInd w:val="0"/>
        <w:spacing w:line="520" w:lineRule="atLeast"/>
        <w:ind w:right="-35"/>
        <w:jc w:val="distribute"/>
        <w:textAlignment w:val="baseline"/>
        <w:rPr>
          <w:rFonts w:hint="eastAsia" w:ascii="方正小标宋简体" w:hAnsi="Times New Roman" w:eastAsia="方正小标宋简体" w:cs="Times New Roman"/>
          <w:color w:val="FF0000"/>
          <w:kern w:val="0"/>
          <w:sz w:val="56"/>
          <w:szCs w:val="56"/>
        </w:rPr>
      </w:pPr>
      <w:r>
        <w:rPr>
          <w:rFonts w:hint="eastAsia" w:ascii="方正小标宋简体" w:hAnsi="Times New Roman" w:eastAsia="方正小标宋简体" w:cs="Times New Roman"/>
          <w:color w:val="FF0000"/>
          <w:kern w:val="0"/>
          <w:sz w:val="56"/>
          <w:szCs w:val="56"/>
        </w:rPr>
        <w:t>国家税务总局临汾市税务局公告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overflowPunct w:val="0"/>
        <w:autoSpaceDE w:val="0"/>
        <w:autoSpaceDN w:val="0"/>
        <w:adjustRightInd w:val="0"/>
        <w:spacing w:line="480" w:lineRule="atLeast"/>
        <w:ind w:right="-35"/>
        <w:jc w:val="center"/>
        <w:textAlignment w:val="baseline"/>
        <w:rPr>
          <w:rFonts w:hint="eastAsia" w:ascii="仿宋_GB2312" w:hAnsi="Times New Roman" w:eastAsia="仿宋_GB2312" w:cs="Times New Roman"/>
          <w:kern w:val="0"/>
          <w:sz w:val="32"/>
          <w:szCs w:val="20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20"/>
        </w:rPr>
        <w:t>202</w:t>
      </w:r>
      <w:r>
        <w:rPr>
          <w:rFonts w:hint="eastAsia" w:ascii="仿宋_GB2312" w:hAnsi="Times New Roman" w:eastAsia="仿宋_GB2312" w:cs="Times New Roman"/>
          <w:kern w:val="0"/>
          <w:sz w:val="32"/>
          <w:szCs w:val="20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kern w:val="0"/>
          <w:sz w:val="32"/>
          <w:szCs w:val="20"/>
        </w:rPr>
        <w:t>年第X号</w:t>
      </w:r>
    </w:p>
    <w:p>
      <w:pPr>
        <w:rPr>
          <w:rFonts w:hint="eastAsia"/>
        </w:rPr>
      </w:pP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国家税务总局临汾市税务局关于修改</w:t>
      </w: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《临汾市房地产开发企业土地增值税征收管理办法》的公告</w:t>
      </w: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（征求意见稿）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国家税务总局山西省税务局办公室关于印发《贯彻落实〈土地增值税全流程风险管理指引（试行）〉有关细化措施》的通知》（晋税办发[2026]19号）中《土地增值税配套工作制度及管理规范》核定征收管理规范部分要求，</w:t>
      </w:r>
      <w:r>
        <w:rPr>
          <w:rFonts w:hint="eastAsia" w:ascii="仿宋" w:hAnsi="仿宋" w:eastAsia="仿宋" w:cs="仿宋"/>
          <w:sz w:val="32"/>
          <w:szCs w:val="32"/>
        </w:rPr>
        <w:t>国家税务总局临汾市税务局对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《临汾市房地产开发企业土地增值税征收管理办法》进行修改，并根据本公告重新发布（详见附件），现公告如下：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《临汾市房地产开发企业土地增值税征收管理办法》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（临汾市地方税务局公告2012年第5号发布，国家税务总局临汾市税务局公告20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年第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号修改）“原办法”第十七条“土地增值税的核定征收。房地产开发企业有下列情形之一</w:t>
      </w:r>
      <w:r>
        <w:rPr>
          <w:rFonts w:hint="eastAsia" w:ascii="仿宋" w:hAnsi="仿宋" w:eastAsia="仿宋" w:cs="仿宋"/>
          <w:sz w:val="32"/>
          <w:szCs w:val="32"/>
        </w:rPr>
        <w:t>的，税务机关应按核定征收率进行核定征收：（一）依照法律、行政法规的规定应当设置但未设置账簿的；（二）擅自销毁账簿或者拒不提供纳税资料的；（三）虽设置账簿，但账目混乱或者成本资料、收入凭证、费用凭证残缺不全，难以确定转让收入或扣除项目金额的；（四）符合土地增值税清算条件，未按照规定的期限办理清算手续，经税务机关责令限期清算，逾期仍不清算的；（五）申报的计税依据明显偏低，又无正当理由的。普通住宅核定征收率为5%，非普通住宅核定征收率为5.5%，非住宅核定征收率为6%。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修改为</w:t>
      </w:r>
      <w:r>
        <w:rPr>
          <w:rFonts w:hint="eastAsia" w:ascii="仿宋" w:hAnsi="仿宋" w:eastAsia="仿宋" w:cs="仿宋"/>
          <w:sz w:val="32"/>
          <w:szCs w:val="32"/>
        </w:rPr>
        <w:t>“土地增值税的核定征收。房地产开发企业有下列情形之一的，税务机关应按核定征收率进行核定征收：（一）依照法律、行政法规的规定应当设置但未设置账簿的；（二）擅自销毁账簿或者拒不提供纳税资料的；（三）虽设置账簿，但账目混乱或者成本资料、收入凭证、费用凭证残缺不全，难以确定转让收入或扣除项目金额的；（四）符合土地增值税清算条件，未按照规定的期限办理清算手续，经税务机关责令限期清算，逾期仍不清算的；（五）申报的计税依据明显偏低，又无正当理由的。普通住宅核定征收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下限</w:t>
      </w:r>
      <w:r>
        <w:rPr>
          <w:rFonts w:hint="eastAsia" w:ascii="仿宋" w:hAnsi="仿宋" w:eastAsia="仿宋" w:cs="仿宋"/>
          <w:sz w:val="32"/>
          <w:szCs w:val="32"/>
        </w:rPr>
        <w:t>为5%，非普通住宅核定征收率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下限</w:t>
      </w:r>
      <w:r>
        <w:rPr>
          <w:rFonts w:hint="eastAsia" w:ascii="仿宋" w:hAnsi="仿宋" w:eastAsia="仿宋" w:cs="仿宋"/>
          <w:sz w:val="32"/>
          <w:szCs w:val="32"/>
        </w:rPr>
        <w:t>为5.5%，非住宅核定征收率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下限</w:t>
      </w:r>
      <w:r>
        <w:rPr>
          <w:rFonts w:hint="eastAsia" w:ascii="仿宋" w:hAnsi="仿宋" w:eastAsia="仿宋" w:cs="仿宋"/>
          <w:sz w:val="32"/>
          <w:szCs w:val="32"/>
        </w:rPr>
        <w:t>为6%。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核定征收率下限的基础上，各地应根据住建、自然资源部门获取的建安造价、土地出让金等数据，或参照开发规模和收入水平相近的当地企业的土地增值税税负情况，对拟实行核定征收的项目进行税负率测算，按照测算税负率、预征率和核定征收率下限孰高原则，确定项目的核定征收率。</w:t>
      </w:r>
      <w:r>
        <w:rPr>
          <w:rFonts w:hint="eastAsia" w:ascii="仿宋" w:hAnsi="仿宋" w:eastAsia="仿宋" w:cs="仿宋"/>
          <w:sz w:val="32"/>
          <w:szCs w:val="32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附件：《临汾市房地产开发企业土地增值税征收管理办法》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国家税务总局临汾市税务局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年XX月XX日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56BDF52D"/>
    <w:rsid w:val="5BCF42E9"/>
    <w:rsid w:val="6FFBDC08"/>
    <w:rsid w:val="F8CEB587"/>
    <w:rsid w:val="FA778442"/>
    <w:rsid w:val="FDFF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LFSW</cp:lastModifiedBy>
  <dcterms:modified xsi:type="dcterms:W3CDTF">2026-08-07T18:12:20Z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458C3446EA0C5ADD300F6B6A9533B5FC_42</vt:lpwstr>
  </property>
</Properties>
</file>