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0905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关于《国家税务总局忻州市税务局关于优化调整土地增值税核定征收率的公告</w:t>
      </w:r>
    </w:p>
    <w:p w14:paraId="472DE3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（征求意见稿）》</w:t>
      </w:r>
      <w:r>
        <w:rPr>
          <w:rFonts w:hint="eastAsia" w:ascii="方正小标宋简体" w:hAnsi="方正小标宋简体" w:eastAsia="方正小标宋简体" w:cs="方正小标宋简体"/>
          <w:sz w:val="44"/>
          <w:szCs w:val="44"/>
        </w:rPr>
        <w:t>的解读</w:t>
      </w:r>
    </w:p>
    <w:p w14:paraId="3A9D82E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14:paraId="2F38546B">
      <w:pPr>
        <w:keepNext w:val="0"/>
        <w:keepLines w:val="0"/>
        <w:pageBreakBefore w:val="0"/>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现就《国家税务总局</w:t>
      </w:r>
      <w:r>
        <w:rPr>
          <w:rFonts w:hint="eastAsia" w:ascii="仿宋_GB2312" w:hAnsi="仿宋_GB2312" w:eastAsia="仿宋_GB2312" w:cs="仿宋_GB2312"/>
          <w:sz w:val="32"/>
          <w:szCs w:val="32"/>
          <w:lang w:eastAsia="zh-CN"/>
        </w:rPr>
        <w:t>忻州</w:t>
      </w:r>
      <w:r>
        <w:rPr>
          <w:rFonts w:hint="eastAsia" w:ascii="仿宋_GB2312" w:hAnsi="仿宋_GB2312" w:eastAsia="仿宋_GB2312" w:cs="仿宋_GB2312"/>
          <w:sz w:val="32"/>
          <w:szCs w:val="32"/>
        </w:rPr>
        <w:t>市税务局关于</w:t>
      </w:r>
      <w:r>
        <w:rPr>
          <w:rFonts w:hint="eastAsia" w:ascii="仿宋_GB2312" w:hAnsi="仿宋_GB2312" w:eastAsia="仿宋_GB2312" w:cs="仿宋_GB2312"/>
          <w:sz w:val="32"/>
          <w:szCs w:val="32"/>
          <w:lang w:eastAsia="zh-CN"/>
        </w:rPr>
        <w:t>优化</w:t>
      </w:r>
      <w:r>
        <w:rPr>
          <w:rFonts w:hint="eastAsia" w:ascii="仿宋_GB2312" w:hAnsi="仿宋_GB2312" w:eastAsia="仿宋_GB2312" w:cs="仿宋_GB2312"/>
          <w:sz w:val="32"/>
          <w:szCs w:val="32"/>
        </w:rPr>
        <w:t>调整土地增值税</w:t>
      </w:r>
      <w:r>
        <w:rPr>
          <w:rFonts w:hint="eastAsia" w:ascii="仿宋_GB2312" w:hAnsi="仿宋_GB2312" w:eastAsia="仿宋_GB2312" w:cs="仿宋_GB2312"/>
          <w:sz w:val="32"/>
          <w:szCs w:val="32"/>
          <w:lang w:eastAsia="zh-CN"/>
        </w:rPr>
        <w:t>核定征收</w:t>
      </w:r>
      <w:r>
        <w:rPr>
          <w:rFonts w:hint="eastAsia" w:ascii="仿宋_GB2312" w:hAnsi="仿宋_GB2312" w:eastAsia="仿宋_GB2312" w:cs="仿宋_GB2312"/>
          <w:sz w:val="32"/>
          <w:szCs w:val="32"/>
        </w:rPr>
        <w:t>率的公告》（以下简称《公告》）解读如下：</w:t>
      </w:r>
    </w:p>
    <w:p w14:paraId="3EB12A93">
      <w:pPr>
        <w:keepNext w:val="0"/>
        <w:keepLines w:val="0"/>
        <w:pageBreakBefore w:val="0"/>
        <w:kinsoku/>
        <w:wordWrap/>
        <w:overflowPunct/>
        <w:topLinePunct w:val="0"/>
        <w:autoSpaceDE/>
        <w:autoSpaceDN/>
        <w:bidi w:val="0"/>
        <w:adjustRightInd/>
        <w:snapToGrid/>
        <w:spacing w:line="62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一、《公告》出台背景</w:t>
      </w:r>
    </w:p>
    <w:p w14:paraId="45FB01F2">
      <w:pPr>
        <w:keepNext w:val="0"/>
        <w:keepLines w:val="0"/>
        <w:pageBreakBefore w:val="0"/>
        <w:kinsoku/>
        <w:wordWrap/>
        <w:overflowPunct/>
        <w:topLinePunct w:val="0"/>
        <w:autoSpaceDE/>
        <w:autoSpaceDN/>
        <w:bidi w:val="0"/>
        <w:adjustRightInd/>
        <w:snapToGrid/>
        <w:spacing w:line="62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eastAsia="zh-CN"/>
        </w:rPr>
        <w:t>为了进一步规范土地增值税核定征收管理，更好地发挥土地增值税核定征收率的调节作用，根据《国家税务总局办公厅关于印发〈土地增值税全流程风险管理指引（试行）〉的通知》（税总办财行发〔</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1号</w:t>
      </w:r>
      <w:r>
        <w:rPr>
          <w:rFonts w:hint="eastAsia" w:ascii="仿宋_GB2312" w:hAnsi="仿宋_GB2312" w:eastAsia="仿宋_GB2312" w:cs="仿宋_GB2312"/>
          <w:color w:val="auto"/>
          <w:sz w:val="32"/>
          <w:szCs w:val="32"/>
          <w:lang w:eastAsia="zh-CN"/>
        </w:rPr>
        <w:t>）及《国家税务总局山西省税务局办公室关于印发〈贯彻落实土地增值税全流程风险管理指引（试行）有关细化措施〉的通知》（晋税办发〔2026〕19号）有关规定，对于目前已制发公告采用固定征收率核定方式的地区，应尽快进行优化，结合我市实际，</w:t>
      </w:r>
      <w:r>
        <w:rPr>
          <w:rFonts w:hint="eastAsia" w:ascii="仿宋_GB2312" w:hAnsi="仿宋_GB2312" w:eastAsia="仿宋_GB2312" w:cs="仿宋_GB2312"/>
          <w:sz w:val="32"/>
          <w:szCs w:val="32"/>
          <w:lang w:eastAsia="zh-CN"/>
        </w:rPr>
        <w:t>国家税务总</w:t>
      </w:r>
      <w:bookmarkStart w:id="0" w:name="_GoBack"/>
      <w:bookmarkEnd w:id="0"/>
      <w:r>
        <w:rPr>
          <w:rFonts w:hint="eastAsia" w:ascii="仿宋_GB2312" w:hAnsi="仿宋_GB2312" w:eastAsia="仿宋_GB2312" w:cs="仿宋_GB2312"/>
          <w:sz w:val="32"/>
          <w:szCs w:val="32"/>
          <w:lang w:eastAsia="zh-CN"/>
        </w:rPr>
        <w:t>局忻州市税务局</w:t>
      </w:r>
      <w:r>
        <w:rPr>
          <w:rFonts w:hint="eastAsia" w:ascii="仿宋_GB2312" w:hAnsi="仿宋_GB2312" w:eastAsia="仿宋_GB2312" w:cs="仿宋_GB2312"/>
          <w:sz w:val="32"/>
          <w:szCs w:val="32"/>
          <w:lang w:val="en-US" w:eastAsia="zh-CN"/>
        </w:rPr>
        <w:t>制发了</w:t>
      </w:r>
      <w:r>
        <w:rPr>
          <w:rFonts w:hint="eastAsia" w:ascii="仿宋_GB2312" w:hAnsi="仿宋_GB2312" w:eastAsia="仿宋_GB2312" w:cs="仿宋_GB2312"/>
          <w:sz w:val="32"/>
          <w:szCs w:val="32"/>
        </w:rPr>
        <w:t>《公告》</w:t>
      </w:r>
      <w:r>
        <w:rPr>
          <w:rFonts w:hint="eastAsia" w:ascii="仿宋_GB2312" w:hAnsi="仿宋_GB2312" w:eastAsia="仿宋_GB2312" w:cs="仿宋_GB2312"/>
          <w:sz w:val="32"/>
          <w:szCs w:val="32"/>
          <w:lang w:val="en-US" w:eastAsia="zh-CN"/>
        </w:rPr>
        <w:t>。</w:t>
      </w:r>
    </w:p>
    <w:p w14:paraId="72469241">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620" w:lineRule="exact"/>
        <w:ind w:firstLine="640" w:firstLineChars="200"/>
        <w:jc w:val="both"/>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color w:val="333333"/>
          <w:kern w:val="0"/>
          <w:sz w:val="32"/>
          <w:szCs w:val="32"/>
        </w:rPr>
        <w:t>《公告》的主要内容</w:t>
      </w:r>
    </w:p>
    <w:p w14:paraId="40BFAF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（一）关于确定核定征收率的方式</w:t>
      </w:r>
    </w:p>
    <w:p w14:paraId="3FA7A5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对于实行核定征收的项目，不再适用固定征收率，由主管税务机关对该项目按规定进行税负率测算，按测算税负率、预征率、核定征收率下限孰高原则确定项目的核定征收率。</w:t>
      </w:r>
    </w:p>
    <w:p w14:paraId="5AD9DC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（二）关于核定征收率下限</w:t>
      </w:r>
    </w:p>
    <w:p w14:paraId="64032E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转让小区建筑容积率在</w:t>
      </w:r>
      <w:r>
        <w:rPr>
          <w:rFonts w:hint="eastAsia" w:ascii="仿宋_GB2312" w:hAnsi="仿宋_GB2312" w:eastAsia="仿宋_GB2312" w:cs="仿宋_GB2312"/>
          <w:color w:val="auto"/>
          <w:sz w:val="32"/>
          <w:szCs w:val="32"/>
          <w:lang w:val="en-US" w:eastAsia="zh-CN"/>
        </w:rPr>
        <w:t>1.0以上且单套建筑面积在144平方米以下的住宅，核定征收率下限为5%。</w:t>
      </w:r>
    </w:p>
    <w:p w14:paraId="6C574B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2.转让除第一条规定以外的其他住宅，核定征收率下限为6%。</w:t>
      </w:r>
    </w:p>
    <w:p w14:paraId="2C0388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3.转让</w:t>
      </w:r>
      <w:r>
        <w:rPr>
          <w:rFonts w:hint="eastAsia" w:ascii="仿宋_GB2312" w:hAnsi="仿宋_GB2312" w:eastAsia="仿宋_GB2312" w:cs="仿宋_GB2312"/>
          <w:color w:val="auto"/>
          <w:sz w:val="32"/>
          <w:szCs w:val="32"/>
          <w:highlight w:val="none"/>
        </w:rPr>
        <w:t>其他</w:t>
      </w:r>
      <w:r>
        <w:rPr>
          <w:rFonts w:hint="eastAsia" w:ascii="仿宋_GB2312" w:hAnsi="仿宋_GB2312" w:eastAsia="仿宋_GB2312" w:cs="仿宋_GB2312"/>
          <w:color w:val="auto"/>
          <w:sz w:val="32"/>
          <w:szCs w:val="32"/>
          <w:highlight w:val="none"/>
          <w:lang w:eastAsia="zh-CN"/>
        </w:rPr>
        <w:t>非住宅类型房地产</w:t>
      </w:r>
      <w:r>
        <w:rPr>
          <w:rFonts w:hint="eastAsia" w:ascii="仿宋_GB2312" w:hAnsi="仿宋_GB2312" w:eastAsia="仿宋_GB2312" w:cs="仿宋_GB2312"/>
          <w:color w:val="auto"/>
          <w:sz w:val="32"/>
          <w:szCs w:val="32"/>
          <w:lang w:eastAsia="zh-CN"/>
        </w:rPr>
        <w:t>，核定征收率下限为</w:t>
      </w:r>
      <w:r>
        <w:rPr>
          <w:rFonts w:hint="eastAsia" w:ascii="仿宋_GB2312" w:hAnsi="仿宋_GB2312" w:eastAsia="仿宋_GB2312" w:cs="仿宋_GB2312"/>
          <w:color w:val="auto"/>
          <w:sz w:val="32"/>
          <w:szCs w:val="32"/>
          <w:lang w:val="en-US" w:eastAsia="zh-CN"/>
        </w:rPr>
        <w:t>7%。</w:t>
      </w:r>
    </w:p>
    <w:p w14:paraId="3C758966">
      <w:pPr>
        <w:keepNext w:val="0"/>
        <w:keepLines w:val="0"/>
        <w:pageBreakBefore w:val="0"/>
        <w:widowControl/>
        <w:shd w:val="clear" w:color="auto" w:fill="FFFFFF"/>
        <w:kinsoku/>
        <w:wordWrap/>
        <w:overflowPunct/>
        <w:topLinePunct w:val="0"/>
        <w:autoSpaceDE/>
        <w:autoSpaceDN/>
        <w:bidi w:val="0"/>
        <w:adjustRightInd/>
        <w:snapToGrid/>
        <w:spacing w:line="620" w:lineRule="exact"/>
        <w:ind w:firstLine="640" w:firstLineChars="200"/>
        <w:jc w:val="both"/>
        <w:textAlignment w:val="auto"/>
        <w:rPr>
          <w:rFonts w:hint="eastAsia" w:ascii="黑体" w:hAnsi="黑体" w:eastAsia="黑体" w:cs="黑体"/>
          <w:b w:val="0"/>
          <w:bCs w:val="0"/>
          <w:color w:val="333333"/>
          <w:kern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w:t>
      </w:r>
      <w:r>
        <w:rPr>
          <w:rFonts w:hint="eastAsia" w:ascii="黑体" w:hAnsi="黑体" w:eastAsia="黑体" w:cs="黑体"/>
          <w:b w:val="0"/>
          <w:bCs w:val="0"/>
          <w:color w:val="333333"/>
          <w:kern w:val="0"/>
          <w:sz w:val="32"/>
          <w:szCs w:val="32"/>
        </w:rPr>
        <w:t>《公告》的施行时间</w:t>
      </w:r>
    </w:p>
    <w:p w14:paraId="12C294F5">
      <w:pPr>
        <w:keepNext w:val="0"/>
        <w:keepLines w:val="0"/>
        <w:pageBreakBefore w:val="0"/>
        <w:widowControl w:val="0"/>
        <w:kinsoku/>
        <w:wordWrap/>
        <w:overflowPunct/>
        <w:topLinePunct w:val="0"/>
        <w:autoSpaceDE/>
        <w:autoSpaceDN/>
        <w:bidi w:val="0"/>
        <w:adjustRightInd/>
        <w:snapToGrid/>
        <w:spacing w:line="62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为及时加强</w:t>
      </w:r>
      <w:r>
        <w:rPr>
          <w:rFonts w:hint="eastAsia" w:ascii="仿宋_GB2312" w:hAnsi="仿宋_GB2312" w:eastAsia="仿宋_GB2312" w:cs="仿宋_GB2312"/>
          <w:sz w:val="32"/>
          <w:szCs w:val="32"/>
          <w:lang w:val="en-US" w:eastAsia="zh-CN"/>
        </w:rPr>
        <w:t>土地增值税</w:t>
      </w:r>
      <w:r>
        <w:rPr>
          <w:rFonts w:hint="eastAsia" w:ascii="仿宋_GB2312" w:hAnsi="仿宋_GB2312" w:eastAsia="仿宋_GB2312" w:cs="仿宋_GB2312"/>
          <w:sz w:val="32"/>
          <w:szCs w:val="32"/>
          <w:lang w:eastAsia="zh-CN"/>
        </w:rPr>
        <w:t>核定征收管理，本</w:t>
      </w:r>
      <w:r>
        <w:rPr>
          <w:rFonts w:hint="eastAsia" w:ascii="仿宋_GB2312" w:hAnsi="仿宋_GB2312" w:eastAsia="仿宋_GB2312" w:cs="仿宋_GB2312"/>
          <w:sz w:val="32"/>
          <w:szCs w:val="32"/>
        </w:rPr>
        <w:t>《公告》自</w:t>
      </w:r>
      <w:r>
        <w:rPr>
          <w:rFonts w:hint="eastAsia" w:ascii="仿宋_GB2312" w:hAnsi="仿宋_GB2312" w:eastAsia="仿宋_GB2312" w:cs="仿宋_GB2312"/>
          <w:sz w:val="32"/>
          <w:szCs w:val="32"/>
          <w:lang w:eastAsia="zh-CN"/>
        </w:rPr>
        <w:t>发布之日</w:t>
      </w:r>
      <w:r>
        <w:rPr>
          <w:rFonts w:hint="eastAsia" w:ascii="仿宋_GB2312" w:hAnsi="仿宋_GB2312" w:eastAsia="仿宋_GB2312" w:cs="仿宋_GB2312"/>
          <w:sz w:val="32"/>
          <w:szCs w:val="32"/>
        </w:rPr>
        <w:t>起施行</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公告施行后尚未出具清算结论通知书的核定征收项目，适用本公告</w:t>
      </w:r>
      <w:r>
        <w:rPr>
          <w:rFonts w:hint="eastAsia" w:ascii="仿宋_GB2312" w:hAnsi="仿宋_GB2312" w:eastAsia="仿宋_GB2312" w:cs="仿宋_GB2312"/>
          <w:sz w:val="32"/>
          <w:szCs w:val="32"/>
          <w:lang w:val="en-US" w:eastAsia="zh-CN"/>
        </w:rPr>
        <w:t>。</w:t>
      </w:r>
    </w:p>
    <w:p w14:paraId="0D67F0F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p>
    <w:p w14:paraId="6CEB103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p>
    <w:p w14:paraId="6B1F8579">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3840" w:firstLineChars="1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国家税务总局忻州市税务局</w:t>
      </w:r>
    </w:p>
    <w:p w14:paraId="3EA2A1B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4480" w:firstLineChars="14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2026年X月X日</w:t>
      </w:r>
    </w:p>
    <w:p w14:paraId="0CFFE302">
      <w:pPr>
        <w:keepNext w:val="0"/>
        <w:keepLines w:val="0"/>
        <w:pageBreakBefore w:val="0"/>
        <w:kinsoku/>
        <w:wordWrap/>
        <w:overflowPunct/>
        <w:topLinePunct w:val="0"/>
        <w:autoSpaceDE/>
        <w:autoSpaceDN/>
        <w:bidi w:val="0"/>
        <w:adjustRightInd/>
        <w:snapToGrid/>
        <w:spacing w:line="560" w:lineRule="exact"/>
        <w:ind w:firstLine="420" w:firstLineChars="200"/>
        <w:jc w:val="both"/>
        <w:textAlignment w:val="auto"/>
      </w:pPr>
    </w:p>
    <w:sectPr>
      <w:pgSz w:w="11906" w:h="16838"/>
      <w:pgMar w:top="1440" w:right="1797" w:bottom="1440" w:left="179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0E35D"/>
    <w:multiLevelType w:val="singleLevel"/>
    <w:tmpl w:val="86F0E35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845F0"/>
    <w:rsid w:val="083018D1"/>
    <w:rsid w:val="14220445"/>
    <w:rsid w:val="1E1E7F24"/>
    <w:rsid w:val="35362418"/>
    <w:rsid w:val="38025F0B"/>
    <w:rsid w:val="533845F0"/>
    <w:rsid w:val="5D636C82"/>
    <w:rsid w:val="5EDE5494"/>
    <w:rsid w:val="65485ABC"/>
    <w:rsid w:val="77875EA4"/>
    <w:rsid w:val="7FE72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c6d60e8a-386a-4d98-bd9d-5f8b6f7bb38e</errorID>
      <errorWord>好</errorWord>
      <group>L1_Word</group>
      <groupName>字词问题</groupName>
      <ability>L2_Typo</ability>
      <abilityName>字词错误</abilityName>
      <candidateList>
        <item>好地</item>
      </candidateList>
      <explain/>
      <paraID>45FB01F2</paraID>
      <start>20</start>
      <end>22</end>
      <status>modified</status>
      <modifiedWord>好地</modifiedWord>
      <trackRevisions>false</trackRevisions>
    </reviewItem>
    <reviewItem>
      <errorID>03db867d-9dbb-47c1-9152-bc28d5baf072</errorID>
      <errorWord>国家税务办公厅</errorWord>
      <group>L1_Knowledge</group>
      <groupName>知识性问题</groupName>
      <ability>L2_Organization</ability>
      <abilityName>机构检查</abilityName>
      <candidateList>
        <item>国家税务总局办公厅</item>
      </candidateList>
      <explain>机关单位全简称表述错误</explain>
      <paraID>45FB01F2</paraID>
      <start>43</start>
      <end>52</end>
      <status>modified</status>
      <modifiedWord>国家税务总局办公厅</modifiedWord>
      <trackRevisions>false</trackRevisions>
    </reviewItem>
    <reviewItem>
      <errorID>f149caff-fa8c-4e96-b210-b7b9782ffe3c</errorID>
      <errorWord>&lt;</errorWord>
      <group>L1_Format</group>
      <groupName>格式问题</groupName>
      <ability>L2_HalfPunc_CN</ability>
      <abilityName>全半角问题</abilityName>
      <candidateList>
        <item>〈</item>
      </candidateList>
      <explain>文本全半角错误。</explain>
      <paraID>45FB01F2</paraID>
      <start>56</start>
      <end>57</end>
      <status>modified</status>
      <modifiedWord>〈</modifiedWord>
      <trackRevisions>false</trackRevisions>
    </reviewItem>
    <reviewItem>
      <errorID>ce8cfdf3-3963-43bd-9885-35d8e26934ff</errorID>
      <errorWord>&gt;的通知》</errorWord>
      <group>L1_Punc</group>
      <groupName>标点问题</groupName>
      <ability>L2_Punc_CN</ability>
      <abilityName>标点符号问题</abilityName>
      <candidateList>
        <item>〉的通知》</item>
      </candidateList>
      <explain/>
      <paraID>45FB01F2</paraID>
      <start>75</start>
      <end>80</end>
      <status>modified</status>
      <modifiedWord>〉的通知》</modifiedWord>
      <trackRevisions>false</trackRevisions>
    </reviewItem>
    <reviewItem>
      <errorID>748c2215-b6ab-4c2a-90f8-8525cd3340d9</errorID>
      <errorWord>&lt;</errorWord>
      <group>L1_Punc</group>
      <groupName>标点问题</groupName>
      <ability>L2_Punc_CN</ability>
      <abilityName>标点符号问题</abilityName>
      <candidateList>
        <item>〈</item>
      </candidateList>
      <explain/>
      <paraID>45FB01F2</paraID>
      <start>117</start>
      <end>118</end>
      <status>modified</status>
      <modifiedWord>〈</modifiedWord>
      <trackRevisions>false</trackRevisions>
    </reviewItem>
    <reviewItem>
      <errorID>6c152bba-79fe-46d6-a0c6-2bde3ffb8b5c</errorID>
      <errorWord>&gt;的通知》</errorWord>
      <group>L1_Punc</group>
      <groupName>标点问题</groupName>
      <ability>L2_Punc_CN</ability>
      <abilityName>标点符号问题</abilityName>
      <candidateList>
        <item>〉的通知》</item>
      </candidateList>
      <explain/>
      <paraID>45FB01F2</paraID>
      <start>146</start>
      <end>151</end>
      <status>modified</status>
      <modifiedWord>〉的通知》</modifiedWord>
      <trackRevisions>false</trackRevisions>
    </reviewItem>
    <reviewItem>
      <errorID>3703e162-c60b-4534-9e10-39528948c518</errorID>
      <errorWord>，要求</errorWord>
      <group>L1_Grammar</group>
      <groupName>语法问题</groupName>
      <ability>L2_Grammar</ability>
      <abilityName>语法错误</abilityName>
      <candidateList>
        <item>，</item>
      </candidateList>
      <explain>句式杂糅，“根据……有关规定”已作为行为依据，后续“要求”多余，导致句子主语残缺，属于语法错误</explain>
      <paraID>45FB01F2</paraID>
      <start>170</start>
      <end>171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97584f8f-c5f1-4cb7-a05f-316bdc3b671e}">
  <ds:schemaRefs/>
</ds:datastoreItem>
</file>

<file path=docProps/app.xml><?xml version="1.0" encoding="utf-8"?>
<Properties xmlns="http://schemas.openxmlformats.org/officeDocument/2006/extended-properties" xmlns:vt="http://schemas.openxmlformats.org/officeDocument/2006/docPropsVTypes">
  <Template>Normal.dotm</Template>
  <Pages>2</Pages>
  <Words>624</Words>
  <Characters>644</Characters>
  <Lines>0</Lines>
  <Paragraphs>0</Paragraphs>
  <TotalTime>9</TotalTime>
  <ScaleCrop>false</ScaleCrop>
  <LinksUpToDate>false</LinksUpToDate>
  <CharactersWithSpaces>644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2025-06-20T22:26:00Z</dcterms:created>
  <dc:creator>刘云秀</dc:creator>
  <cp:lastModifiedBy>kk100100126com</cp:lastModifiedBy>
  <dcterms:modified xsi:type="dcterms:W3CDTF">2026-08-06T04:07:04Z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8959723571880D7769FB736AC1958E35_42</vt:lpwstr>
  </property>
  <property fmtid="{D5CDD505-2E9C-101B-9397-08002B2CF9AE}" pid="4" name="KSOTemplateDocerSaveRecord">
    <vt:lpwstr>eyJoZGlkIjoiNDkwZWI1NGIyNDc4MTc5NDdiZTNmNGIzY2U5ZGU3ZmQiLCJ1c2VySWQiOiIzOTUwOTMwIn0=</vt:lpwstr>
  </property>
</Properties>
</file>