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关于《国家税务总局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阳泉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市税务局关于调整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土地增值税预征率的公告》的解读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（征求意见稿）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现就《国家税务总局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阳泉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市税务局关于调整土地增值税预征率的公告》（以下简称《公告》）解读如下：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一、《公告》出台背景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</w:t>
      </w:r>
      <w:r>
        <w:rPr>
          <w:rFonts w:hint="eastAsia" w:ascii="仿宋_GB2312" w:hAnsi="仿宋_GB2312" w:eastAsia="仿宋_GB2312" w:cs="仿宋_GB2312"/>
          <w:sz w:val="32"/>
          <w:szCs w:val="32"/>
        </w:rPr>
        <w:t>省税务局出台《国家税务总局山西省税务局关于降低土地增值税预征率下限的公告》（2024年第2号），授权各市根据当地房地产市场的实际情况，对当地执行的预征率进行调整。为落实相关要求、进一步支持改善性住房需求释放，结合我市房地产市场发展实际，对我市预征率作出调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二、《公告》的主要内容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月1日（税款所属期）起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，土地增值税项目按照以下预征率进行预缴。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纳税人建造的居住用住宅，符合以下条件的，土地增值税预征率为1%，按照“普通住宅”进行申报预缴。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住宅小区建筑容积率在1.0以上；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单套建筑面积在144平方米（含）以下。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第一条规定之外的住宅，土地增值税预征率为1.5%，按照“非普通住宅”进行申报预缴。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其他类型房地产预征率为2%。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三、《公告》的施行时间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为最大程度维护纳税人的合法权益，本《公告》自2025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月1日起施行。《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阳泉市地方税务局关于加强调整土地增值税预征率的通知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阳地税发〔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）同时废止。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例如：纳税人按月度预缴土地增值税，2025年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月申报税款所属期为2025年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月的预缴税款时，应适用原预征规定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月申报税款所属期为2025年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月的预缴税款时，住宅小区建筑容积率在1.0以上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单套建筑面积在144平方米以下居住用住宅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预征率为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1%；除符合以上条件之外的居住用住宅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预征率为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1.5%；其他类型房地产预征率为2%。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64EF"/>
    <w:rsid w:val="46950645"/>
    <w:rsid w:val="4F0E64EF"/>
    <w:rsid w:val="7FB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2025-03-13T09:30:00Z</dcterms:created>
  <dc:creator>王翔宇</dc:creator>
  <cp:lastModifiedBy>xxzx</cp:lastModifiedBy>
  <dcterms:modified xsi:type="dcterms:W3CDTF">2025-03-14T09:20:12Z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