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航空公司民航发展基金征收标准</w:t>
      </w:r>
    </w:p>
    <w:p>
      <w:pPr>
        <w:widowControl/>
        <w:spacing w:before="100" w:beforeAutospacing="1" w:after="100" w:afterAutospacing="1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单位：元/公里</w:t>
      </w:r>
    </w:p>
    <w:tbl>
      <w:tblPr>
        <w:tblStyle w:val="4"/>
        <w:tblW w:w="7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608"/>
        <w:gridCol w:w="2132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最大起飞全重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第一类航线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第二类航线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第三类航线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≤50吨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0.575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0.45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50-100（含）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1.15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0.925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100-200（含）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1.725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1.375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&gt;200吨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2.3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1.825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1.45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  <w:r>
      <w:t>-</w:t>
    </w:r>
  </w:p>
  <w:p>
    <w:pPr>
      <w:pStyle w:val="2"/>
      <w:ind w:right="360" w:firstLine="360"/>
      <w:jc w:val="center"/>
      <w:rPr>
        <w:rFonts w:cs="Times New Roman"/>
      </w:rPr>
    </w:pPr>
  </w:p>
  <w:p>
    <w:pPr>
      <w:rPr>
        <w:rFonts w:cs="Times New Roman"/>
      </w:rPr>
    </w:pPr>
  </w:p>
  <w:p>
    <w:pPr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  <w:p>
    <w:pPr>
      <w:rPr>
        <w:rFonts w:cs="Times New Roman"/>
      </w:rPr>
    </w:pPr>
  </w:p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22E5"/>
    <w:rsid w:val="24E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2023-04-14T08:19:00Z</dcterms:created>
  <dc:creator>钟名俍</dc:creator>
  <cp:lastModifiedBy>钟名俍</cp:lastModifiedBy>
  <dcterms:modified xsi:type="dcterms:W3CDTF">2023-04-14T08:19:29Z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