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cs="仿宋"/>
          <w:b/>
          <w:bCs/>
          <w:sz w:val="56"/>
          <w:szCs w:val="56"/>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60" w:lineRule="auto"/>
        <w:jc w:val="center"/>
        <w:rPr>
          <w:rFonts w:hint="eastAsia" w:ascii="微软雅黑" w:hAnsi="微软雅黑" w:eastAsia="微软雅黑" w:cs="仿宋"/>
          <w:b/>
          <w:bCs/>
          <w:sz w:val="56"/>
          <w:szCs w:val="56"/>
          <w:lang w:val="en-US" w:eastAsia="zh-CN"/>
        </w:rPr>
      </w:pPr>
      <w:r>
        <w:rPr>
          <w:rFonts w:hint="eastAsia" w:ascii="微软雅黑" w:hAnsi="微软雅黑" w:eastAsia="微软雅黑" w:cs="仿宋"/>
          <w:b/>
          <w:bCs/>
          <w:sz w:val="56"/>
          <w:szCs w:val="56"/>
          <w:lang w:val="en-US" w:eastAsia="zh-CN"/>
        </w:rPr>
        <w:t>增值税及附加税费申报表</w:t>
      </w:r>
    </w:p>
    <w:p>
      <w:pPr>
        <w:spacing w:line="360" w:lineRule="auto"/>
        <w:jc w:val="center"/>
        <w:rPr>
          <w:rFonts w:hint="eastAsia" w:ascii="微软雅黑" w:hAnsi="微软雅黑" w:eastAsia="微软雅黑" w:cs="仿宋"/>
          <w:b/>
          <w:bCs/>
          <w:sz w:val="56"/>
          <w:szCs w:val="56"/>
          <w:lang w:val="en-US" w:eastAsia="zh-CN"/>
        </w:rPr>
      </w:pPr>
      <w:r>
        <w:rPr>
          <w:rFonts w:hint="eastAsia" w:ascii="微软雅黑" w:hAnsi="微软雅黑" w:eastAsia="微软雅黑" w:cs="仿宋"/>
          <w:b/>
          <w:bCs/>
          <w:sz w:val="56"/>
          <w:szCs w:val="56"/>
          <w:lang w:val="en-US" w:eastAsia="zh-CN"/>
        </w:rPr>
        <w:t>（一般纳税人适用）</w:t>
      </w:r>
    </w:p>
    <w:p>
      <w:pPr>
        <w:spacing w:line="360" w:lineRule="auto"/>
        <w:jc w:val="center"/>
        <w:rPr>
          <w:rFonts w:hint="eastAsia" w:ascii="微软雅黑" w:hAnsi="微软雅黑" w:eastAsia="微软雅黑" w:cs="仿宋"/>
          <w:b/>
          <w:bCs/>
          <w:sz w:val="56"/>
          <w:szCs w:val="56"/>
          <w:lang w:val="en-US" w:eastAsia="zh-CN"/>
        </w:rPr>
      </w:pPr>
      <w:r>
        <w:rPr>
          <w:rFonts w:hint="eastAsia" w:ascii="微软雅黑" w:hAnsi="微软雅黑" w:eastAsia="微软雅黑" w:cs="仿宋"/>
          <w:b/>
          <w:bCs/>
          <w:sz w:val="56"/>
          <w:szCs w:val="56"/>
          <w:lang w:val="en-US" w:eastAsia="zh-CN"/>
        </w:rPr>
        <w:t>申报缴税</w:t>
      </w:r>
      <w:bookmarkStart w:id="0" w:name="_GoBack"/>
      <w:bookmarkEnd w:id="0"/>
      <w:r>
        <w:rPr>
          <w:rFonts w:hint="eastAsia" w:ascii="微软雅黑" w:hAnsi="微软雅黑" w:eastAsia="微软雅黑" w:cs="仿宋"/>
          <w:b/>
          <w:bCs/>
          <w:sz w:val="56"/>
          <w:szCs w:val="56"/>
          <w:lang w:val="en-US" w:eastAsia="zh-CN"/>
        </w:rPr>
        <w:t>操作手册</w:t>
      </w:r>
    </w:p>
    <w:p>
      <w:pPr>
        <w:spacing w:line="360" w:lineRule="auto"/>
        <w:jc w:val="center"/>
        <w:rPr>
          <w:rFonts w:hint="eastAsia" w:ascii="微软雅黑" w:hAnsi="微软雅黑" w:eastAsia="微软雅黑" w:cs="仿宋"/>
          <w:b/>
          <w:bCs/>
          <w:sz w:val="56"/>
          <w:szCs w:val="56"/>
          <w:lang w:val="en-US" w:eastAsia="zh-CN"/>
        </w:rPr>
      </w:pPr>
    </w:p>
    <w:p>
      <w:pPr>
        <w:spacing w:line="360" w:lineRule="auto"/>
        <w:jc w:val="center"/>
        <w:rPr>
          <w:rFonts w:hint="eastAsia" w:ascii="微软雅黑" w:hAnsi="微软雅黑" w:eastAsia="微软雅黑" w:cs="仿宋"/>
          <w:b/>
          <w:bCs/>
          <w:sz w:val="56"/>
          <w:szCs w:val="56"/>
          <w:lang w:val="en-US" w:eastAsia="zh-CN"/>
        </w:rPr>
      </w:pPr>
    </w:p>
    <w:p>
      <w:pPr>
        <w:spacing w:line="360" w:lineRule="auto"/>
        <w:jc w:val="center"/>
        <w:rPr>
          <w:rFonts w:hint="eastAsia" w:ascii="微软雅黑" w:hAnsi="微软雅黑" w:eastAsia="微软雅黑" w:cs="仿宋"/>
          <w:b/>
          <w:bCs/>
          <w:sz w:val="56"/>
          <w:szCs w:val="56"/>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60" w:lineRule="auto"/>
        <w:jc w:val="both"/>
        <w:rPr>
          <w:rFonts w:ascii="微软雅黑" w:hAnsi="微软雅黑" w:eastAsia="微软雅黑" w:cs="仿宋"/>
          <w:b/>
          <w:bCs/>
          <w:sz w:val="28"/>
          <w:szCs w:val="28"/>
        </w:rPr>
      </w:pPr>
      <w:r>
        <w:rPr>
          <w:rFonts w:ascii="微软雅黑" w:hAnsi="微软雅黑" w:eastAsia="微软雅黑" w:cs="仿宋"/>
          <w:b/>
          <w:bCs/>
          <w:sz w:val="28"/>
          <w:szCs w:val="28"/>
        </w:rPr>
        <w:t xml:space="preserve"> </w:t>
      </w:r>
    </w:p>
    <w:p>
      <w:pPr>
        <w:spacing w:line="360" w:lineRule="auto"/>
        <w:jc w:val="center"/>
        <w:rPr>
          <w:rFonts w:ascii="微软雅黑" w:hAnsi="微软雅黑" w:eastAsia="微软雅黑" w:cs="仿宋"/>
          <w:b/>
          <w:bCs/>
          <w:sz w:val="32"/>
          <w:szCs w:val="32"/>
        </w:rPr>
      </w:pPr>
      <w:r>
        <w:rPr>
          <w:rFonts w:hint="eastAsia" w:ascii="微软雅黑" w:hAnsi="微软雅黑" w:eastAsia="微软雅黑" w:cs="仿宋"/>
          <w:b/>
          <w:bCs/>
          <w:sz w:val="32"/>
          <w:szCs w:val="32"/>
        </w:rPr>
        <w:t>202</w:t>
      </w:r>
      <w:r>
        <w:rPr>
          <w:rFonts w:hint="eastAsia" w:ascii="微软雅黑" w:hAnsi="微软雅黑" w:eastAsia="微软雅黑" w:cs="仿宋"/>
          <w:b/>
          <w:bCs/>
          <w:sz w:val="32"/>
          <w:szCs w:val="32"/>
          <w:lang w:val="en-US" w:eastAsia="zh-CN"/>
        </w:rPr>
        <w:t>1</w:t>
      </w:r>
      <w:r>
        <w:rPr>
          <w:rFonts w:hint="eastAsia" w:ascii="微软雅黑" w:hAnsi="微软雅黑" w:eastAsia="微软雅黑" w:cs="仿宋"/>
          <w:b/>
          <w:bCs/>
          <w:sz w:val="32"/>
          <w:szCs w:val="32"/>
        </w:rPr>
        <w:t>年</w:t>
      </w:r>
      <w:r>
        <w:rPr>
          <w:rFonts w:hint="eastAsia" w:ascii="微软雅黑" w:hAnsi="微软雅黑" w:eastAsia="微软雅黑" w:cs="仿宋"/>
          <w:b/>
          <w:bCs/>
          <w:sz w:val="32"/>
          <w:szCs w:val="32"/>
          <w:lang w:val="en-US" w:eastAsia="zh-CN"/>
        </w:rPr>
        <w:t>07</w:t>
      </w:r>
      <w:r>
        <w:rPr>
          <w:rFonts w:hint="eastAsia" w:ascii="微软雅黑" w:hAnsi="微软雅黑" w:eastAsia="微软雅黑" w:cs="仿宋"/>
          <w:b/>
          <w:bCs/>
          <w:sz w:val="32"/>
          <w:szCs w:val="32"/>
        </w:rPr>
        <w:t>月</w:t>
      </w:r>
    </w:p>
    <w:p>
      <w:pPr>
        <w:jc w:val="center"/>
        <w:rPr>
          <w:rFonts w:hint="eastAsia" w:ascii="仿宋_GB2312" w:hAnsi="黑体" w:eastAsia="仿宋_GB2312" w:cs="仿宋"/>
          <w:b/>
          <w:bCs w:val="0"/>
          <w:color w:val="auto"/>
          <w:sz w:val="44"/>
          <w:szCs w:val="44"/>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pStyle w:val="2"/>
        <w:spacing w:before="240" w:after="240"/>
        <w:rPr>
          <w:rFonts w:hint="eastAsia" w:ascii="仿宋" w:hAnsi="仿宋" w:eastAsia="仿宋" w:cs="仿宋"/>
          <w:sz w:val="28"/>
          <w:szCs w:val="28"/>
          <w:lang w:eastAsia="zh-CN"/>
        </w:rPr>
      </w:pPr>
      <w:r>
        <w:rPr>
          <w:rFonts w:hint="eastAsia" w:ascii="仿宋" w:hAnsi="仿宋" w:eastAsia="仿宋" w:cs="仿宋"/>
          <w:sz w:val="28"/>
          <w:szCs w:val="28"/>
        </w:rPr>
        <w:t>一、登录</w:t>
      </w:r>
      <w:r>
        <w:rPr>
          <w:rFonts w:hint="eastAsia" w:ascii="仿宋" w:hAnsi="仿宋" w:eastAsia="仿宋" w:cs="仿宋"/>
          <w:sz w:val="28"/>
          <w:szCs w:val="28"/>
          <w:lang w:eastAsia="zh-CN"/>
        </w:rPr>
        <w:t>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黑体" w:eastAsia="仿宋_GB2312" w:cs="仿宋"/>
          <w:bCs/>
          <w:sz w:val="28"/>
          <w:szCs w:val="28"/>
        </w:rPr>
      </w:pPr>
      <w:r>
        <w:rPr>
          <w:rFonts w:hint="eastAsia" w:ascii="仿宋_GB2312" w:hAnsi="黑体" w:eastAsia="仿宋_GB2312" w:cs="仿宋"/>
          <w:bCs/>
          <w:sz w:val="28"/>
          <w:szCs w:val="28"/>
          <w:lang w:val="en-US" w:eastAsia="zh-CN"/>
        </w:rPr>
        <w:t>1.</w:t>
      </w:r>
      <w:r>
        <w:rPr>
          <w:rFonts w:hint="eastAsia" w:ascii="仿宋_GB2312" w:hAnsi="黑体" w:eastAsia="仿宋_GB2312" w:cs="仿宋"/>
          <w:bCs/>
          <w:sz w:val="28"/>
          <w:szCs w:val="28"/>
        </w:rPr>
        <w:t>登录国家税务总局山西省电子税务局</w:t>
      </w:r>
    </w:p>
    <w:p>
      <w:pPr>
        <w:ind w:firstLine="560" w:firstLineChars="200"/>
        <w:jc w:val="left"/>
      </w:pPr>
      <w:r>
        <w:rPr>
          <w:rFonts w:hint="eastAsia" w:ascii="仿宋_GB2312" w:hAnsi="黑体" w:eastAsia="仿宋_GB2312" w:cs="仿宋"/>
          <w:bCs/>
          <w:color w:val="auto"/>
          <w:sz w:val="28"/>
          <w:szCs w:val="28"/>
        </w:rPr>
        <w:t>方式</w:t>
      </w:r>
      <w:r>
        <w:rPr>
          <w:rFonts w:hint="eastAsia" w:ascii="仿宋_GB2312" w:hAnsi="黑体" w:eastAsia="仿宋_GB2312" w:cs="仿宋"/>
          <w:bCs/>
          <w:color w:val="auto"/>
          <w:sz w:val="28"/>
          <w:szCs w:val="28"/>
          <w:lang w:eastAsia="zh-CN"/>
        </w:rPr>
        <w:t>一</w:t>
      </w:r>
      <w:r>
        <w:rPr>
          <w:rFonts w:hint="eastAsia" w:ascii="仿宋_GB2312" w:hAnsi="黑体" w:eastAsia="仿宋_GB2312" w:cs="仿宋"/>
          <w:bCs/>
          <w:color w:val="auto"/>
          <w:sz w:val="28"/>
          <w:szCs w:val="28"/>
        </w:rPr>
        <w:t>:通过国家税务总局山西省税务局门户网站登录。</w:t>
      </w:r>
    </w:p>
    <w:p>
      <w:pPr>
        <w:jc w:val="center"/>
        <w:rPr>
          <w:rFonts w:hint="eastAsia" w:eastAsia="宋体"/>
          <w:lang w:eastAsia="zh-CN"/>
        </w:rPr>
      </w:pPr>
      <w:r>
        <w:rPr>
          <w:rFonts w:hint="eastAsia" w:eastAsia="宋体"/>
          <w:lang w:eastAsia="zh-CN"/>
        </w:rPr>
        <w:drawing>
          <wp:inline distT="0" distB="0" distL="114300" distR="114300">
            <wp:extent cx="5269230" cy="1660525"/>
            <wp:effectExtent l="0" t="0" r="7620" b="15875"/>
            <wp:docPr id="2" name="图片 1" descr="314e9bd91ffad271e287733d988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14e9bd91ffad271e287733d9880525"/>
                    <pic:cNvPicPr>
                      <a:picLocks noChangeAspect="1"/>
                    </pic:cNvPicPr>
                  </pic:nvPicPr>
                  <pic:blipFill>
                    <a:blip r:embed="rId10"/>
                    <a:stretch>
                      <a:fillRect/>
                    </a:stretch>
                  </pic:blipFill>
                  <pic:spPr>
                    <a:xfrm>
                      <a:off x="0" y="0"/>
                      <a:ext cx="5269230" cy="1660525"/>
                    </a:xfrm>
                    <a:prstGeom prst="rect">
                      <a:avLst/>
                    </a:prstGeom>
                    <a:noFill/>
                    <a:ln>
                      <a:noFill/>
                    </a:ln>
                  </pic:spPr>
                </pic:pic>
              </a:graphicData>
            </a:graphic>
          </wp:inline>
        </w:drawing>
      </w:r>
    </w:p>
    <w:p>
      <w:pPr>
        <w:ind w:firstLine="560" w:firstLineChars="200"/>
        <w:jc w:val="left"/>
        <w:rPr>
          <w:rFonts w:hint="eastAsia" w:ascii="仿宋_GB2312" w:hAnsi="黑体" w:eastAsia="仿宋_GB2312" w:cs="仿宋"/>
          <w:bCs/>
          <w:color w:val="auto"/>
          <w:sz w:val="28"/>
          <w:szCs w:val="28"/>
        </w:rPr>
      </w:pPr>
      <w:r>
        <w:rPr>
          <w:rFonts w:hint="eastAsia" w:ascii="仿宋_GB2312" w:hAnsi="黑体" w:eastAsia="仿宋_GB2312" w:cs="仿宋"/>
          <w:bCs/>
          <w:color w:val="auto"/>
          <w:sz w:val="28"/>
          <w:szCs w:val="28"/>
        </w:rPr>
        <w:t>方式</w:t>
      </w:r>
      <w:r>
        <w:rPr>
          <w:rFonts w:hint="eastAsia" w:ascii="仿宋_GB2312" w:hAnsi="黑体" w:eastAsia="仿宋_GB2312" w:cs="仿宋"/>
          <w:bCs/>
          <w:color w:val="auto"/>
          <w:sz w:val="28"/>
          <w:szCs w:val="28"/>
          <w:lang w:eastAsia="zh-CN"/>
        </w:rPr>
        <w:t>二</w:t>
      </w:r>
      <w:r>
        <w:rPr>
          <w:rFonts w:hint="eastAsia" w:ascii="仿宋_GB2312" w:hAnsi="黑体" w:eastAsia="仿宋_GB2312" w:cs="仿宋"/>
          <w:bCs/>
          <w:color w:val="auto"/>
          <w:sz w:val="28"/>
          <w:szCs w:val="28"/>
        </w:rPr>
        <w:t>:使用</w:t>
      </w:r>
      <w:r>
        <w:rPr>
          <w:rFonts w:hint="eastAsia" w:ascii="仿宋_GB2312" w:hAnsi="黑体" w:eastAsia="仿宋_GB2312" w:cs="仿宋"/>
          <w:bCs/>
          <w:color w:val="auto"/>
          <w:sz w:val="28"/>
          <w:szCs w:val="28"/>
          <w:lang w:eastAsia="zh-CN"/>
        </w:rPr>
        <w:t>国家税务总局山西省电子税务局</w:t>
      </w:r>
      <w:r>
        <w:rPr>
          <w:rFonts w:hint="eastAsia" w:ascii="仿宋_GB2312" w:hAnsi="黑体" w:eastAsia="仿宋_GB2312" w:cs="仿宋"/>
          <w:bCs/>
          <w:color w:val="auto"/>
          <w:sz w:val="28"/>
          <w:szCs w:val="28"/>
        </w:rPr>
        <w:t>网址登录。</w:t>
      </w:r>
    </w:p>
    <w:p>
      <w:pPr>
        <w:ind w:firstLine="560" w:firstLineChars="200"/>
        <w:jc w:val="left"/>
        <w:rPr>
          <w:rFonts w:hint="eastAsia" w:ascii="仿宋_GB2312" w:hAnsi="黑体" w:eastAsia="仿宋_GB2312" w:cs="仿宋"/>
          <w:bCs/>
          <w:color w:val="auto"/>
          <w:sz w:val="28"/>
          <w:szCs w:val="28"/>
        </w:rPr>
      </w:pPr>
      <w:r>
        <w:rPr>
          <w:rFonts w:hint="eastAsia" w:ascii="仿宋_GB2312" w:hAnsi="黑体" w:eastAsia="仿宋_GB2312" w:cs="仿宋"/>
          <w:bCs/>
          <w:color w:val="auto"/>
          <w:sz w:val="28"/>
          <w:szCs w:val="28"/>
        </w:rPr>
        <w:fldChar w:fldCharType="begin"/>
      </w:r>
      <w:r>
        <w:rPr>
          <w:rFonts w:hint="eastAsia" w:ascii="仿宋_GB2312" w:hAnsi="黑体" w:eastAsia="仿宋_GB2312" w:cs="仿宋"/>
          <w:bCs/>
          <w:color w:val="auto"/>
          <w:sz w:val="28"/>
          <w:szCs w:val="28"/>
        </w:rPr>
        <w:instrText xml:space="preserve"> HYPERLINK "https://etax.shanxi.chinatax.gov.cn/login" </w:instrText>
      </w:r>
      <w:r>
        <w:rPr>
          <w:rFonts w:hint="eastAsia" w:ascii="仿宋_GB2312" w:hAnsi="黑体" w:eastAsia="仿宋_GB2312" w:cs="仿宋"/>
          <w:bCs/>
          <w:color w:val="auto"/>
          <w:sz w:val="28"/>
          <w:szCs w:val="28"/>
        </w:rPr>
        <w:fldChar w:fldCharType="separate"/>
      </w:r>
      <w:r>
        <w:rPr>
          <w:rFonts w:hint="eastAsia" w:ascii="仿宋_GB2312" w:hAnsi="黑体" w:eastAsia="仿宋_GB2312" w:cs="仿宋"/>
          <w:bCs/>
          <w:color w:val="auto"/>
          <w:sz w:val="28"/>
          <w:szCs w:val="28"/>
        </w:rPr>
        <w:t>https://etax.shanxi.chinatax.gov.cn/login</w:t>
      </w:r>
      <w:r>
        <w:rPr>
          <w:rFonts w:hint="eastAsia" w:ascii="仿宋_GB2312" w:hAnsi="黑体" w:eastAsia="仿宋_GB2312" w:cs="仿宋"/>
          <w:bCs/>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黑体" w:eastAsia="仿宋_GB2312" w:cs="仿宋"/>
          <w:bCs/>
          <w:sz w:val="28"/>
          <w:szCs w:val="28"/>
        </w:rPr>
      </w:pPr>
      <w:r>
        <w:rPr>
          <w:rFonts w:hint="eastAsia" w:ascii="仿宋_GB2312" w:hAnsi="黑体" w:eastAsia="仿宋_GB2312" w:cs="仿宋"/>
          <w:bCs/>
          <w:sz w:val="28"/>
          <w:szCs w:val="28"/>
        </w:rPr>
        <w:t>2.点击右上角“登录”按钮</w:t>
      </w:r>
      <w:r>
        <w:rPr>
          <w:rFonts w:hint="eastAsia" w:ascii="仿宋_GB2312" w:hAnsi="黑体" w:eastAsia="仿宋_GB2312" w:cs="仿宋"/>
          <w:bCs/>
          <w:sz w:val="28"/>
          <w:szCs w:val="28"/>
          <w:lang w:eastAsia="zh-CN"/>
        </w:rPr>
        <w:t>，以“企业登录”的方式</w:t>
      </w:r>
      <w:r>
        <w:rPr>
          <w:rFonts w:hint="eastAsia" w:ascii="仿宋_GB2312" w:hAnsi="黑体" w:eastAsia="仿宋_GB2312" w:cs="仿宋"/>
          <w:bCs/>
          <w:sz w:val="28"/>
          <w:szCs w:val="28"/>
        </w:rPr>
        <w:t>输入社会信用代码（或纳税人识别号）、密码</w:t>
      </w:r>
      <w:r>
        <w:rPr>
          <w:rFonts w:hint="eastAsia" w:ascii="仿宋_GB2312" w:hAnsi="黑体" w:eastAsia="仿宋_GB2312" w:cs="仿宋"/>
          <w:bCs/>
          <w:sz w:val="28"/>
          <w:szCs w:val="28"/>
          <w:lang w:eastAsia="zh-CN"/>
        </w:rPr>
        <w:t>、手机号码以及验证码后</w:t>
      </w:r>
      <w:r>
        <w:rPr>
          <w:rFonts w:hint="eastAsia" w:ascii="仿宋_GB2312" w:hAnsi="黑体" w:eastAsia="仿宋_GB2312" w:cs="仿宋"/>
          <w:bCs/>
          <w:sz w:val="28"/>
          <w:szCs w:val="28"/>
        </w:rPr>
        <w:t>，</w:t>
      </w:r>
      <w:r>
        <w:rPr>
          <w:rFonts w:hint="eastAsia" w:ascii="仿宋_GB2312" w:hAnsi="黑体" w:eastAsia="仿宋_GB2312" w:cs="仿宋"/>
          <w:bCs/>
          <w:sz w:val="28"/>
          <w:szCs w:val="28"/>
          <w:lang w:eastAsia="zh-CN"/>
        </w:rPr>
        <w:t>登录</w:t>
      </w:r>
      <w:r>
        <w:rPr>
          <w:rFonts w:hint="eastAsia" w:ascii="仿宋_GB2312" w:hAnsi="黑体" w:eastAsia="仿宋_GB2312" w:cs="仿宋"/>
          <w:bCs/>
          <w:sz w:val="28"/>
          <w:szCs w:val="28"/>
        </w:rPr>
        <w:t>进入电子税务局。</w:t>
      </w:r>
    </w:p>
    <w:p>
      <w:pPr>
        <w:jc w:val="center"/>
        <w:rPr>
          <w:rFonts w:hint="eastAsia"/>
        </w:rPr>
      </w:pPr>
      <w:r>
        <w:rPr>
          <w:rFonts w:hint="eastAsia" w:ascii="仿宋_GB2312" w:hAnsi="黑体" w:eastAsia="仿宋_GB2312" w:cs="仿宋"/>
          <w:bCs/>
          <w:color w:val="auto"/>
          <w:sz w:val="28"/>
          <w:szCs w:val="28"/>
          <w:lang w:val="en-US" w:eastAsia="zh-CN"/>
        </w:rPr>
        <w:drawing>
          <wp:inline distT="0" distB="0" distL="114300" distR="114300">
            <wp:extent cx="5271135" cy="3892550"/>
            <wp:effectExtent l="0" t="0" r="5715" b="12700"/>
            <wp:docPr id="4" name="图片 2" descr="ba648545a759d84d2fc96a295883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ba648545a759d84d2fc96a295883c3a"/>
                    <pic:cNvPicPr>
                      <a:picLocks noChangeAspect="1"/>
                    </pic:cNvPicPr>
                  </pic:nvPicPr>
                  <pic:blipFill>
                    <a:blip r:embed="rId11"/>
                    <a:stretch>
                      <a:fillRect/>
                    </a:stretch>
                  </pic:blipFill>
                  <pic:spPr>
                    <a:xfrm>
                      <a:off x="0" y="0"/>
                      <a:ext cx="5271135" cy="3892550"/>
                    </a:xfrm>
                    <a:prstGeom prst="rect">
                      <a:avLst/>
                    </a:prstGeom>
                    <a:noFill/>
                    <a:ln>
                      <a:noFill/>
                    </a:ln>
                  </pic:spPr>
                </pic:pic>
              </a:graphicData>
            </a:graphic>
          </wp:inline>
        </w:drawing>
      </w:r>
    </w:p>
    <w:p>
      <w:pPr>
        <w:pStyle w:val="2"/>
        <w:spacing w:before="240" w:after="240"/>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进入增值税申报界面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黑体" w:eastAsia="仿宋_GB2312" w:cs="仿宋"/>
          <w:bCs/>
          <w:sz w:val="28"/>
          <w:szCs w:val="28"/>
        </w:rPr>
      </w:pPr>
      <w:r>
        <w:rPr>
          <w:rFonts w:hint="eastAsia" w:ascii="仿宋_GB2312" w:hAnsi="黑体" w:eastAsia="仿宋_GB2312" w:cs="仿宋"/>
          <w:bCs/>
          <w:sz w:val="28"/>
          <w:szCs w:val="28"/>
        </w:rPr>
        <w:t>1.在首页屏幕下方查看“我的待办”，电子税务局会提示您当前未申报的税种及申报截止日期。点击</w:t>
      </w:r>
      <w:r>
        <w:rPr>
          <w:rFonts w:hint="eastAsia" w:ascii="仿宋_GB2312" w:hAnsi="黑体" w:eastAsia="仿宋_GB2312" w:cs="仿宋"/>
          <w:bCs/>
          <w:sz w:val="28"/>
          <w:szCs w:val="28"/>
          <w:lang w:val="en-US" w:eastAsia="zh-CN"/>
        </w:rPr>
        <w:t>待办区的</w:t>
      </w:r>
      <w:r>
        <w:rPr>
          <w:rFonts w:hint="eastAsia" w:ascii="仿宋_GB2312" w:hAnsi="黑体" w:eastAsia="仿宋_GB2312" w:cs="仿宋"/>
          <w:bCs/>
          <w:sz w:val="28"/>
          <w:szCs w:val="28"/>
        </w:rPr>
        <w:t>“申报”按钮或“税费申报及缴纳”</w:t>
      </w:r>
      <w:r>
        <w:rPr>
          <w:rFonts w:hint="eastAsia" w:ascii="仿宋_GB2312" w:hAnsi="黑体" w:eastAsia="仿宋_GB2312" w:cs="仿宋"/>
          <w:bCs/>
          <w:sz w:val="28"/>
          <w:szCs w:val="28"/>
          <w:lang w:val="en-US" w:eastAsia="zh-CN"/>
        </w:rPr>
        <w:t>模块办理申报缴税业务。</w:t>
      </w:r>
    </w:p>
    <w:p>
      <w:pPr>
        <w:jc w:val="left"/>
        <w:rPr>
          <w:rFonts w:ascii="仿宋_GB2312" w:eastAsia="仿宋_GB2312"/>
          <w:sz w:val="32"/>
          <w:szCs w:val="32"/>
        </w:rPr>
      </w:pPr>
      <w:r>
        <w:drawing>
          <wp:inline distT="0" distB="0" distL="114300" distR="114300">
            <wp:extent cx="5272405" cy="2163445"/>
            <wp:effectExtent l="0" t="0" r="444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72405" cy="2163445"/>
                    </a:xfrm>
                    <a:prstGeom prst="rect">
                      <a:avLst/>
                    </a:prstGeom>
                    <a:noFill/>
                    <a:ln>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2.点击“增值税一般纳税人申报表”。</w:t>
      </w:r>
    </w:p>
    <w:p>
      <w:pPr>
        <w:jc w:val="left"/>
        <w:rPr>
          <w:rFonts w:ascii="仿宋_GB2312" w:eastAsia="仿宋_GB2312"/>
          <w:sz w:val="32"/>
          <w:szCs w:val="32"/>
        </w:rPr>
      </w:pPr>
      <w:r>
        <w:drawing>
          <wp:inline distT="0" distB="0" distL="114300" distR="114300">
            <wp:extent cx="5262880" cy="2661920"/>
            <wp:effectExtent l="0" t="0" r="1397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262880" cy="2661920"/>
                    </a:xfrm>
                    <a:prstGeom prst="rect">
                      <a:avLst/>
                    </a:prstGeom>
                    <a:noFill/>
                    <a:ln w="9525">
                      <a:noFill/>
                    </a:ln>
                  </pic:spPr>
                </pic:pic>
              </a:graphicData>
            </a:graphic>
          </wp:inline>
        </w:drawing>
      </w:r>
    </w:p>
    <w:p>
      <w:pPr>
        <w:pStyle w:val="2"/>
        <w:spacing w:before="240" w:after="240"/>
        <w:rPr>
          <w:rFonts w:hint="eastAsia" w:ascii="仿宋" w:hAnsi="仿宋" w:eastAsia="仿宋" w:cs="仿宋"/>
          <w:sz w:val="28"/>
          <w:szCs w:val="28"/>
          <w:lang w:eastAsia="zh-CN"/>
        </w:rPr>
      </w:pPr>
      <w:r>
        <w:rPr>
          <w:rFonts w:hint="eastAsia" w:ascii="仿宋" w:hAnsi="仿宋" w:eastAsia="仿宋" w:cs="仿宋"/>
          <w:sz w:val="28"/>
          <w:szCs w:val="28"/>
          <w:lang w:eastAsia="zh-CN"/>
        </w:rPr>
        <w:t>三、填写报表</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（一）填写销售额及销项税额相关数据</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1.点击《增值税及附加税费申报表附列资料一（本期销售情况明细）》后面的“填写”。</w:t>
      </w:r>
    </w:p>
    <w:p>
      <w:pPr>
        <w:jc w:val="left"/>
        <w:rPr>
          <w:rFonts w:ascii="仿宋_GB2312" w:eastAsia="仿宋_GB2312"/>
          <w:sz w:val="32"/>
          <w:szCs w:val="32"/>
        </w:rPr>
      </w:pPr>
      <w:r>
        <w:drawing>
          <wp:inline distT="0" distB="0" distL="114300" distR="114300">
            <wp:extent cx="5267960" cy="1136015"/>
            <wp:effectExtent l="0" t="0" r="8890" b="698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4"/>
                    <a:stretch>
                      <a:fillRect/>
                    </a:stretch>
                  </pic:blipFill>
                  <pic:spPr>
                    <a:xfrm>
                      <a:off x="0" y="0"/>
                      <a:ext cx="5267960" cy="113601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2.核实并修改电子税务局自动提取的专用发票、其他发票销售额及税额。（电子税务局自动提取了对应所属期内开具的增值税专用发票以及通过增值税发票新系统开具的普通发票的销售额和税额合计）。</w:t>
      </w:r>
    </w:p>
    <w:p>
      <w:pPr>
        <w:jc w:val="left"/>
        <w:rPr>
          <w:rFonts w:ascii="仿宋_GB2312" w:eastAsia="仿宋_GB2312"/>
          <w:sz w:val="32"/>
          <w:szCs w:val="32"/>
        </w:rPr>
      </w:pPr>
      <w:r>
        <w:drawing>
          <wp:inline distT="0" distB="0" distL="114300" distR="114300">
            <wp:extent cx="5262880" cy="3096260"/>
            <wp:effectExtent l="0" t="0" r="13970" b="889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5"/>
                    <a:stretch>
                      <a:fillRect/>
                    </a:stretch>
                  </pic:blipFill>
                  <pic:spPr>
                    <a:xfrm>
                      <a:off x="0" y="0"/>
                      <a:ext cx="5262880" cy="309626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3.录入“未开具发票”及通过非增值税发票新系统开具普通发票的“销售额”和“税额”。</w:t>
      </w:r>
    </w:p>
    <w:p>
      <w:pPr>
        <w:jc w:val="left"/>
        <w:rPr>
          <w:rFonts w:ascii="仿宋_GB2312" w:eastAsia="仿宋_GB2312"/>
          <w:sz w:val="32"/>
          <w:szCs w:val="32"/>
        </w:rPr>
      </w:pPr>
      <w:r>
        <w:drawing>
          <wp:inline distT="0" distB="0" distL="114300" distR="114300">
            <wp:extent cx="5262880" cy="3074035"/>
            <wp:effectExtent l="0" t="0" r="13970" b="1206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6"/>
                    <a:stretch>
                      <a:fillRect/>
                    </a:stretch>
                  </pic:blipFill>
                  <pic:spPr>
                    <a:xfrm>
                      <a:off x="0" y="0"/>
                      <a:ext cx="5262880" cy="307403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4.适用差额征收政策的营改增纳税人点击第12列标题“应税服务扣除项目本期实际扣除金额”进入《增值税纳税申报表附列资料（三）》，其他纳税人跳过此步及下面的第5步。</w:t>
      </w:r>
    </w:p>
    <w:p>
      <w:pPr>
        <w:jc w:val="left"/>
        <w:rPr>
          <w:rFonts w:ascii="仿宋_GB2312" w:eastAsia="仿宋_GB2312"/>
          <w:sz w:val="32"/>
          <w:szCs w:val="32"/>
        </w:rPr>
      </w:pPr>
      <w:r>
        <w:drawing>
          <wp:inline distT="0" distB="0" distL="114300" distR="114300">
            <wp:extent cx="5262880" cy="3062605"/>
            <wp:effectExtent l="0" t="0" r="13970" b="444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7"/>
                    <a:stretch>
                      <a:fillRect/>
                    </a:stretch>
                  </pic:blipFill>
                  <pic:spPr>
                    <a:xfrm>
                      <a:off x="0" y="0"/>
                      <a:ext cx="5262880" cy="306260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5. 在《增值税纳税申报表附列资料（三）》中，手工录入第3列“本期发生额”，其他各列由电子税务局自动生成，完成后点击左上角“保存”，返回《增值税纳税申报表附列资料（一）》。</w:t>
      </w:r>
    </w:p>
    <w:p>
      <w:pPr>
        <w:jc w:val="left"/>
        <w:rPr>
          <w:rFonts w:ascii="仿宋_GB2312" w:eastAsia="仿宋_GB2312"/>
          <w:sz w:val="32"/>
          <w:szCs w:val="32"/>
        </w:rPr>
      </w:pPr>
      <w:r>
        <w:drawing>
          <wp:inline distT="0" distB="0" distL="114300" distR="114300">
            <wp:extent cx="5262880" cy="1886585"/>
            <wp:effectExtent l="0" t="0" r="13970" b="1841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8"/>
                    <a:stretch>
                      <a:fillRect/>
                    </a:stretch>
                  </pic:blipFill>
                  <pic:spPr>
                    <a:xfrm>
                      <a:off x="0" y="0"/>
                      <a:ext cx="5262880" cy="188658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6.销售额及销项数据填写完成，点击左上角“保存”，自动跳转到《增值税纳税申报表附列资料（二）》的填写。</w:t>
      </w:r>
    </w:p>
    <w:p>
      <w:pPr>
        <w:jc w:val="left"/>
        <w:rPr>
          <w:rFonts w:ascii="仿宋_GB2312" w:eastAsia="仿宋_GB2312"/>
          <w:sz w:val="32"/>
          <w:szCs w:val="32"/>
        </w:rPr>
      </w:pPr>
      <w:r>
        <w:drawing>
          <wp:inline distT="0" distB="0" distL="114300" distR="114300">
            <wp:extent cx="5266055" cy="3096895"/>
            <wp:effectExtent l="0" t="0" r="10795" b="825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9"/>
                    <a:stretch>
                      <a:fillRect/>
                    </a:stretch>
                  </pic:blipFill>
                  <pic:spPr>
                    <a:xfrm>
                      <a:off x="0" y="0"/>
                      <a:ext cx="5266055" cy="309689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（二）填写进项税额相关数据</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1.《增值税纳税申报表附列资料（一）》保存后，会自动弹出《增值税纳税申报表附列资料（二）》；也可在报表填写目录下点击“增值税纳税申报表附列资料（二）”后面的“填写”。</w:t>
      </w:r>
    </w:p>
    <w:p>
      <w:pPr>
        <w:jc w:val="left"/>
        <w:rPr>
          <w:rFonts w:ascii="仿宋_GB2312" w:eastAsia="仿宋_GB2312"/>
          <w:sz w:val="32"/>
          <w:szCs w:val="32"/>
        </w:rPr>
      </w:pPr>
      <w:r>
        <w:drawing>
          <wp:inline distT="0" distB="0" distL="114300" distR="114300">
            <wp:extent cx="5266055" cy="3096895"/>
            <wp:effectExtent l="0" t="0" r="10795" b="825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19"/>
                    <a:stretch>
                      <a:fillRect/>
                    </a:stretch>
                  </pic:blipFill>
                  <pic:spPr>
                    <a:xfrm>
                      <a:off x="0" y="0"/>
                      <a:ext cx="5266055" cy="309689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2.核实并修改电子税务局自动提取的第35栏“本期认证增值税专用发票”的“份数”“金额”“税额”栏次数据。</w:t>
      </w:r>
    </w:p>
    <w:p>
      <w:pPr>
        <w:jc w:val="left"/>
        <w:rPr>
          <w:rFonts w:ascii="仿宋_GB2312" w:eastAsia="仿宋_GB2312"/>
          <w:sz w:val="32"/>
          <w:szCs w:val="32"/>
        </w:rPr>
      </w:pPr>
      <w:r>
        <w:drawing>
          <wp:inline distT="0" distB="0" distL="114300" distR="114300">
            <wp:extent cx="5266055" cy="3507740"/>
            <wp:effectExtent l="0" t="0" r="10795" b="1651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20"/>
                    <a:stretch>
                      <a:fillRect/>
                    </a:stretch>
                  </pic:blipFill>
                  <pic:spPr>
                    <a:xfrm>
                      <a:off x="0" y="0"/>
                      <a:ext cx="5266055" cy="350774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3.核实并修改电子税务局自动提取的第2栏“本期认证且本期申报抵扣”增值税专用发票“份数”“金额”“税额”栏次数据。</w:t>
      </w:r>
    </w:p>
    <w:p>
      <w:pPr>
        <w:jc w:val="left"/>
        <w:rPr>
          <w:rFonts w:ascii="仿宋_GB2312" w:eastAsia="仿宋_GB2312"/>
          <w:sz w:val="32"/>
          <w:szCs w:val="32"/>
        </w:rPr>
      </w:pPr>
      <w:r>
        <w:drawing>
          <wp:inline distT="0" distB="0" distL="114300" distR="114300">
            <wp:extent cx="5267960" cy="3112770"/>
            <wp:effectExtent l="0" t="0" r="8890" b="1143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21"/>
                    <a:stretch>
                      <a:fillRect/>
                    </a:stretch>
                  </pic:blipFill>
                  <pic:spPr>
                    <a:xfrm>
                      <a:off x="0" y="0"/>
                      <a:ext cx="5267960" cy="311277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4.其他扣税凭证的填写</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反映本期申报抵扣的除增值税专用发票之外的其他扣税凭证的情况。具体包括：海关进口增值税专用缴款书、农产品收购发票或者销售发票（含农产品核定扣除的进项税额）、代扣代缴税收完税凭证、加计扣除农产品进项税额和其他符合政策规定的扣税凭证。该栏应等于第5至8b栏之和。</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1）第5栏“海关进口增值税专用缴款书”：反映本期申报抵扣的海关进口增值税专用缴款书的情况。按规定执行海关进口增值税专用缴款书先比对后抵扣的，纳税人需依据税务机关告知的稽核比对结果通知书及明细清单注明的稽核相符的海关进口增值税专用缴款书填写本栏。</w:t>
      </w:r>
    </w:p>
    <w:p>
      <w:pPr>
        <w:pStyle w:val="4"/>
        <w:spacing w:line="360" w:lineRule="auto"/>
        <w:rPr>
          <w:rFonts w:ascii="仿宋_GB2312" w:eastAsia="仿宋_GB2312" w:hAnsiTheme="minorHAnsi" w:cstheme="minorBidi"/>
          <w:kern w:val="2"/>
          <w:sz w:val="32"/>
          <w:szCs w:val="32"/>
        </w:rPr>
      </w:pPr>
      <w:r>
        <w:drawing>
          <wp:inline distT="0" distB="0" distL="114300" distR="114300">
            <wp:extent cx="5262245" cy="3100705"/>
            <wp:effectExtent l="0" t="0" r="14605" b="4445"/>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22"/>
                    <a:stretch>
                      <a:fillRect/>
                    </a:stretch>
                  </pic:blipFill>
                  <pic:spPr>
                    <a:xfrm>
                      <a:off x="0" y="0"/>
                      <a:ext cx="5262245" cy="310070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2）第6栏“农产品收购发票或者销售发票”：反映纳税人本期购进农业生产者自产农产品取得（开具）的农产品收购发票或者销售发票情况。从小规模纳税人处购进农产品时取得增值税专用发票情况填写在本栏，但购进农产品未分别核算用于生产销售13%税率货物和其他货物服务的农产品进项税额情况除外。</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“税额”栏＝农产品销售发票或者收购发票上注明的农产品买价×9%+增值税专用发票上注明的金额×9%。</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上述公式中的“增值税专用发票”是指纳税人从小规模纳税人处购进农产品时取得的专用发票。</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执行农产品增值税进项税额核定扣除办法的，填写当期允许抵扣的农产品增值税进项税额，不填写“份数”“金额”。</w:t>
      </w:r>
    </w:p>
    <w:p>
      <w:pPr>
        <w:pStyle w:val="4"/>
        <w:spacing w:line="360" w:lineRule="auto"/>
        <w:rPr>
          <w:rFonts w:ascii="仿宋_GB2312" w:eastAsia="仿宋_GB2312" w:hAnsiTheme="minorHAnsi" w:cstheme="minorBidi"/>
          <w:kern w:val="2"/>
          <w:sz w:val="32"/>
          <w:szCs w:val="32"/>
        </w:rPr>
      </w:pPr>
      <w:r>
        <w:drawing>
          <wp:inline distT="0" distB="0" distL="114300" distR="114300">
            <wp:extent cx="5264785" cy="3089275"/>
            <wp:effectExtent l="0" t="0" r="12065" b="15875"/>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23"/>
                    <a:stretch>
                      <a:fillRect/>
                    </a:stretch>
                  </pic:blipFill>
                  <pic:spPr>
                    <a:xfrm>
                      <a:off x="0" y="0"/>
                      <a:ext cx="5264785" cy="308927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（3）第7栏“代扣代缴税收缴款凭证”：填写本期按规定准予抵扣的完税凭证上注明的增值税额。</w:t>
      </w:r>
    </w:p>
    <w:p>
      <w:pPr>
        <w:pStyle w:val="4"/>
        <w:spacing w:line="360" w:lineRule="auto"/>
        <w:rPr>
          <w:rFonts w:ascii="仿宋_GB2312" w:eastAsia="仿宋_GB2312" w:hAnsiTheme="minorHAnsi" w:cstheme="minorBidi"/>
          <w:kern w:val="2"/>
          <w:sz w:val="32"/>
          <w:szCs w:val="32"/>
        </w:rPr>
      </w:pPr>
      <w:r>
        <w:drawing>
          <wp:inline distT="0" distB="0" distL="114300" distR="114300">
            <wp:extent cx="5266055" cy="3096895"/>
            <wp:effectExtent l="0" t="0" r="10795" b="825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24"/>
                    <a:stretch>
                      <a:fillRect/>
                    </a:stretch>
                  </pic:blipFill>
                  <pic:spPr>
                    <a:xfrm>
                      <a:off x="0" y="0"/>
                      <a:ext cx="5266055" cy="309689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（4）第8a栏“加计扣除农产品进项税额”：填写纳税人将购进的农产品用于生产销售或委托受托加工13%税率货物时加计扣除的农产品进项税额。该栏不填写“份数”“金额”。</w:t>
      </w:r>
    </w:p>
    <w:p>
      <w:pPr>
        <w:pStyle w:val="4"/>
        <w:spacing w:line="360" w:lineRule="auto"/>
        <w:rPr>
          <w:rFonts w:ascii="仿宋_GB2312" w:eastAsia="仿宋_GB2312" w:hAnsiTheme="minorHAnsi" w:cstheme="minorBidi"/>
          <w:kern w:val="2"/>
          <w:sz w:val="32"/>
          <w:szCs w:val="32"/>
        </w:rPr>
      </w:pPr>
      <w:r>
        <w:drawing>
          <wp:inline distT="0" distB="0" distL="114300" distR="114300">
            <wp:extent cx="5262245" cy="3104515"/>
            <wp:effectExtent l="0" t="0" r="14605" b="635"/>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25"/>
                    <a:stretch>
                      <a:fillRect/>
                    </a:stretch>
                  </pic:blipFill>
                  <pic:spPr>
                    <a:xfrm>
                      <a:off x="0" y="0"/>
                      <a:ext cx="5262245" cy="310451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（5）购进国内旅客运输服务，纳税人未取得增值税专用发票的，暂按照以下规定确定进项税额：</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①取得增值税电子普通发票的，为发票上注明的税额；</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②取得注明旅客身份信息的航空运输电子客票行程单的，为按照下列公式计算进项税额：</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航空旅客运输进项税额=（票价+燃油附加费）÷（1+9%）×9%</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③取得注明旅客身份信息的铁路车票的，为按照下列公式计算的进项税额：</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铁路旅客运输进项税额=票面金额÷（1+9%）×9%</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④取得注明旅客身份信息的公路、水路等其他客票的，按照下列公式计算进项税额：</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公路、水路等其他旅客运输进项税额=票面金额÷（1+3%）×3%</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填写方法：同时填入第8b栏“其他”和第10栏“（四）本期用于抵扣的旅客运输服务扣税凭证”。</w:t>
      </w:r>
    </w:p>
    <w:p>
      <w:pPr>
        <w:pStyle w:val="4"/>
        <w:spacing w:line="360" w:lineRule="auto"/>
        <w:rPr>
          <w:rFonts w:ascii="仿宋_GB2312" w:eastAsia="仿宋_GB2312" w:hAnsiTheme="minorHAnsi" w:cstheme="minorBidi"/>
          <w:kern w:val="2"/>
          <w:sz w:val="32"/>
          <w:szCs w:val="32"/>
        </w:rPr>
      </w:pPr>
      <w:r>
        <w:drawing>
          <wp:inline distT="0" distB="0" distL="114300" distR="114300">
            <wp:extent cx="5261610" cy="3120390"/>
            <wp:effectExtent l="0" t="0" r="15240" b="3810"/>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26"/>
                    <a:stretch>
                      <a:fillRect/>
                    </a:stretch>
                  </pic:blipFill>
                  <pic:spPr>
                    <a:xfrm>
                      <a:off x="0" y="0"/>
                      <a:ext cx="5261610" cy="312039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6）不动产分期抵扣期末余额。截至2019年3月税款所属期，《国家税务总局关于全面推开营业税改征增值税试点后增值税纳税申报有关事项的公告》（国家税务总局公告2016年第13号）附件1中《增值税纳税申报表附列资料（五）》第6栏“期末待抵扣不动产进项税额”的期末余额，可自2019年4月税款所属期起结转填入第8b栏“其他”。</w:t>
      </w:r>
    </w:p>
    <w:p>
      <w:pPr>
        <w:pStyle w:val="4"/>
        <w:spacing w:line="360" w:lineRule="auto"/>
        <w:rPr>
          <w:rFonts w:ascii="仿宋_GB2312" w:eastAsia="仿宋_GB2312" w:hAnsiTheme="minorHAnsi" w:cstheme="minorBidi"/>
          <w:kern w:val="2"/>
          <w:sz w:val="32"/>
          <w:szCs w:val="32"/>
        </w:rPr>
      </w:pPr>
      <w:r>
        <w:drawing>
          <wp:inline distT="0" distB="0" distL="114300" distR="114300">
            <wp:extent cx="5273675" cy="3131820"/>
            <wp:effectExtent l="0" t="0" r="3175" b="1143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27"/>
                    <a:stretch>
                      <a:fillRect/>
                    </a:stretch>
                  </pic:blipFill>
                  <pic:spPr>
                    <a:xfrm>
                      <a:off x="0" y="0"/>
                      <a:ext cx="5273675" cy="313182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（7）支付桥、闸通行费。桥、闸通行费可抵扣进项税额=桥、闸通行费发票上注明的金额÷（1+5%）×5%，填入第8b栏“其他”。</w:t>
      </w:r>
    </w:p>
    <w:p>
      <w:pPr>
        <w:pStyle w:val="4"/>
        <w:spacing w:line="360" w:lineRule="auto"/>
        <w:rPr>
          <w:rFonts w:ascii="仿宋_GB2312" w:eastAsia="仿宋_GB2312" w:hAnsiTheme="minorHAnsi" w:cstheme="minorBidi"/>
          <w:kern w:val="2"/>
          <w:sz w:val="32"/>
          <w:szCs w:val="32"/>
        </w:rPr>
      </w:pPr>
      <w:r>
        <w:drawing>
          <wp:inline distT="0" distB="0" distL="114300" distR="114300">
            <wp:extent cx="5273675" cy="3131820"/>
            <wp:effectExtent l="0" t="0" r="3175" b="1143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27"/>
                    <a:stretch>
                      <a:fillRect/>
                    </a:stretch>
                  </pic:blipFill>
                  <pic:spPr>
                    <a:xfrm>
                      <a:off x="0" y="0"/>
                      <a:ext cx="5273675" cy="313182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8）用途改变。纳税人按照规定不得抵扣且未抵扣进项税额的固定资产、无形资产、不动产，发生用途改变，用于允许抵扣进项税额的应税项目，可在用途改变的次月将按公式计算出的可以抵扣的进项税额，填入第8b栏“其他”“税额”中。</w:t>
      </w:r>
    </w:p>
    <w:p>
      <w:pPr>
        <w:pStyle w:val="4"/>
        <w:spacing w:line="360" w:lineRule="auto"/>
        <w:rPr>
          <w:rFonts w:ascii="仿宋_GB2312" w:eastAsia="仿宋_GB2312"/>
          <w:sz w:val="32"/>
          <w:szCs w:val="32"/>
        </w:rPr>
      </w:pPr>
      <w:r>
        <w:drawing>
          <wp:inline distT="0" distB="0" distL="114300" distR="114300">
            <wp:extent cx="5273675" cy="3131820"/>
            <wp:effectExtent l="0" t="0" r="3175" b="11430"/>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27"/>
                    <a:stretch>
                      <a:fillRect/>
                    </a:stretch>
                  </pic:blipFill>
                  <pic:spPr>
                    <a:xfrm>
                      <a:off x="0" y="0"/>
                      <a:ext cx="5273675" cy="313182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5.《出口货物转内销证明》</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税务机关出口退税部门开具的《出口货物转内销证明》列明允许抵扣的进项税额填写第11栏“（五）外贸企业进项税额抵扣证明”。</w:t>
      </w:r>
    </w:p>
    <w:p>
      <w:pPr>
        <w:pStyle w:val="4"/>
        <w:spacing w:line="360" w:lineRule="auto"/>
        <w:rPr>
          <w:rFonts w:ascii="仿宋_GB2312" w:eastAsia="仿宋_GB2312" w:hAnsiTheme="minorHAnsi" w:cstheme="minorBidi"/>
          <w:kern w:val="2"/>
          <w:sz w:val="32"/>
          <w:szCs w:val="32"/>
        </w:rPr>
      </w:pPr>
      <w:r>
        <w:drawing>
          <wp:inline distT="0" distB="0" distL="114300" distR="114300">
            <wp:extent cx="5273675" cy="3124200"/>
            <wp:effectExtent l="0" t="0" r="3175" b="0"/>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28"/>
                    <a:stretch>
                      <a:fillRect/>
                    </a:stretch>
                  </pic:blipFill>
                  <pic:spPr>
                    <a:xfrm>
                      <a:off x="0" y="0"/>
                      <a:ext cx="5273675" cy="312420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6.单独列示购建不动产和购进国内旅客运输服务。这两类扣税凭证在计入《增值税纳税申报表附列资料（二）》第1和4栏的同时，还需要在第9栏“（三）本期用于购建不动产的扣税凭证”或第10栏“（四）本期用于抵扣的旅客运输服务扣税凭证”单独列示。</w:t>
      </w:r>
    </w:p>
    <w:p>
      <w:pPr>
        <w:jc w:val="left"/>
        <w:rPr>
          <w:rFonts w:ascii="仿宋_GB2312" w:eastAsia="仿宋_GB2312"/>
          <w:sz w:val="32"/>
          <w:szCs w:val="32"/>
        </w:rPr>
      </w:pPr>
      <w:r>
        <w:drawing>
          <wp:inline distT="0" distB="0" distL="114300" distR="114300">
            <wp:extent cx="5262245" cy="3108325"/>
            <wp:effectExtent l="0" t="0" r="14605" b="15875"/>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pic:cNvPicPr>
                      <a:picLocks noChangeAspect="1"/>
                    </pic:cNvPicPr>
                  </pic:nvPicPr>
                  <pic:blipFill>
                    <a:blip r:embed="rId29"/>
                    <a:stretch>
                      <a:fillRect/>
                    </a:stretch>
                  </pic:blipFill>
                  <pic:spPr>
                    <a:xfrm>
                      <a:off x="0" y="0"/>
                      <a:ext cx="5262245" cy="310832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7.核对进项税额</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核实第12栏“当期申报抵扣进项税额合计”，该栏等于第1栏+第4栏+第11栏。不包括第9栏和第10栏。</w:t>
      </w:r>
    </w:p>
    <w:p>
      <w:pPr>
        <w:jc w:val="left"/>
        <w:rPr>
          <w:rFonts w:ascii="仿宋_GB2312" w:eastAsia="仿宋_GB2312"/>
          <w:sz w:val="32"/>
          <w:szCs w:val="32"/>
        </w:rPr>
      </w:pPr>
      <w:r>
        <w:drawing>
          <wp:inline distT="0" distB="0" distL="114300" distR="114300">
            <wp:extent cx="5266690" cy="3326130"/>
            <wp:effectExtent l="0" t="0" r="10160" b="7620"/>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30"/>
                    <a:stretch>
                      <a:fillRect/>
                    </a:stretch>
                  </pic:blipFill>
                  <pic:spPr>
                    <a:xfrm>
                      <a:off x="0" y="0"/>
                      <a:ext cx="5266690" cy="332613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8.进项税额转出</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已经抵扣但按规定应在本期转出的进项税额依情形分别填列第14-23</w:t>
      </w:r>
      <w:r>
        <w:rPr>
          <w:rFonts w:hint="eastAsia"/>
          <w:lang w:val="en-US" w:eastAsia="zh-CN"/>
        </w:rPr>
        <w:t>b</w:t>
      </w:r>
      <w:r>
        <w:rPr>
          <w:rFonts w:hint="eastAsia" w:ascii="仿宋_GB2312" w:hAnsi="黑体" w:eastAsia="仿宋_GB2312" w:cs="仿宋"/>
          <w:bCs/>
          <w:color w:val="auto"/>
          <w:sz w:val="28"/>
          <w:szCs w:val="28"/>
          <w:lang w:val="en-US" w:eastAsia="zh-CN"/>
        </w:rPr>
        <w:t>栏，第13栏自动合计。</w:t>
      </w:r>
    </w:p>
    <w:p>
      <w:pPr>
        <w:jc w:val="left"/>
        <w:rPr>
          <w:rFonts w:ascii="仿宋_GB2312" w:eastAsia="仿宋_GB2312"/>
          <w:sz w:val="32"/>
          <w:szCs w:val="32"/>
        </w:rPr>
      </w:pPr>
      <w:r>
        <w:drawing>
          <wp:inline distT="0" distB="0" distL="114300" distR="114300">
            <wp:extent cx="5262245" cy="3482975"/>
            <wp:effectExtent l="0" t="0" r="14605" b="3175"/>
            <wp:docPr id="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pic:cNvPicPr>
                      <a:picLocks noChangeAspect="1"/>
                    </pic:cNvPicPr>
                  </pic:nvPicPr>
                  <pic:blipFill>
                    <a:blip r:embed="rId31"/>
                    <a:stretch>
                      <a:fillRect/>
                    </a:stretch>
                  </pic:blipFill>
                  <pic:spPr>
                    <a:xfrm>
                      <a:off x="0" y="0"/>
                      <a:ext cx="5262245" cy="348297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9.填写完成，点击左上角“保存”。</w:t>
      </w:r>
    </w:p>
    <w:p>
      <w:pPr>
        <w:jc w:val="left"/>
        <w:rPr>
          <w:rFonts w:ascii="仿宋_GB2312" w:eastAsia="仿宋_GB2312"/>
          <w:sz w:val="32"/>
          <w:szCs w:val="32"/>
        </w:rPr>
      </w:pPr>
      <w:r>
        <w:drawing>
          <wp:inline distT="0" distB="0" distL="114300" distR="114300">
            <wp:extent cx="5269865" cy="3364230"/>
            <wp:effectExtent l="0" t="0" r="6985" b="7620"/>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32"/>
                    <a:stretch>
                      <a:fillRect/>
                    </a:stretch>
                  </pic:blipFill>
                  <pic:spPr>
                    <a:xfrm>
                      <a:off x="0" y="0"/>
                      <a:ext cx="5269865" cy="336423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（三）填写税额抵减相关情况</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1.《增值税纳税申报表附列资料（二）》保存后，会自动弹出《增值税纳税申报表附列资料（四）》；也可点击报表填写目录下的《增值税纳税申报表附列资料（四）》后面的“填写”。灰色栏次由系统根据规则自动生成，白色栏次可录入。</w:t>
      </w:r>
    </w:p>
    <w:p>
      <w:pPr>
        <w:jc w:val="left"/>
        <w:rPr>
          <w:rFonts w:ascii="仿宋_GB2312" w:eastAsia="仿宋_GB2312"/>
          <w:sz w:val="32"/>
          <w:szCs w:val="32"/>
        </w:rPr>
      </w:pPr>
      <w:r>
        <w:drawing>
          <wp:inline distT="0" distB="0" distL="114300" distR="114300">
            <wp:extent cx="5262880" cy="2249805"/>
            <wp:effectExtent l="0" t="0" r="13970" b="17145"/>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33"/>
                    <a:stretch>
                      <a:fillRect/>
                    </a:stretch>
                  </pic:blipFill>
                  <pic:spPr>
                    <a:xfrm>
                      <a:off x="0" y="0"/>
                      <a:ext cx="5262880" cy="224980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2.增值税税控系统专用设备费及技术维护费</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将增值税税控系统专用设备费及技术维护费专用发票载明的价税合计填入第2列“本期发生额”，本期实际抵减额填入第4列。</w:t>
      </w:r>
    </w:p>
    <w:p>
      <w:pPr>
        <w:jc w:val="left"/>
        <w:rPr>
          <w:rFonts w:ascii="仿宋_GB2312" w:eastAsia="仿宋_GB2312"/>
          <w:sz w:val="32"/>
          <w:szCs w:val="32"/>
        </w:rPr>
      </w:pPr>
      <w:r>
        <w:drawing>
          <wp:inline distT="0" distB="0" distL="114300" distR="114300">
            <wp:extent cx="5268595" cy="2228850"/>
            <wp:effectExtent l="0" t="0" r="8255" b="0"/>
            <wp:docPr id="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pic:cNvPicPr>
                      <a:picLocks noChangeAspect="1"/>
                    </pic:cNvPicPr>
                  </pic:nvPicPr>
                  <pic:blipFill>
                    <a:blip r:embed="rId34"/>
                    <a:stretch>
                      <a:fillRect/>
                    </a:stretch>
                  </pic:blipFill>
                  <pic:spPr>
                    <a:xfrm>
                      <a:off x="0" y="0"/>
                      <a:ext cx="5268595" cy="222885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3.预缴税款的填写</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将预缴税款依情形填入第2列第3-5栏“本期发生额”，本期实际抵减额填入第4列。</w:t>
      </w:r>
    </w:p>
    <w:p>
      <w:pPr>
        <w:ind w:left="420" w:leftChars="200"/>
        <w:jc w:val="left"/>
        <w:rPr>
          <w:rFonts w:ascii="仿宋_GB2312" w:eastAsia="仿宋_GB2312"/>
          <w:sz w:val="32"/>
          <w:szCs w:val="32"/>
        </w:rPr>
      </w:pPr>
      <w:r>
        <w:drawing>
          <wp:inline distT="0" distB="0" distL="114300" distR="114300">
            <wp:extent cx="5270500" cy="2234565"/>
            <wp:effectExtent l="0" t="0" r="6350" b="13335"/>
            <wp:docPr id="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pic:cNvPicPr>
                      <a:picLocks noChangeAspect="1"/>
                    </pic:cNvPicPr>
                  </pic:nvPicPr>
                  <pic:blipFill>
                    <a:blip r:embed="rId35"/>
                    <a:stretch>
                      <a:fillRect/>
                    </a:stretch>
                  </pic:blipFill>
                  <pic:spPr>
                    <a:xfrm>
                      <a:off x="0" y="0"/>
                      <a:ext cx="5270500" cy="2234565"/>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4.加计抵减情况的填写</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填写《增值税纳税申报表附列资料（四）》“二、加计抵减情况”，仅限适用加计抵减政策的纳税人填写。</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（1）年度内首次享受，未填写声明点击“填写声明”，自动链接到《增值税适用加计抵减政策声明》填写模块。</w:t>
      </w:r>
    </w:p>
    <w:p>
      <w:pPr>
        <w:ind w:left="420" w:leftChars="200"/>
        <w:jc w:val="left"/>
        <w:rPr>
          <w:rFonts w:ascii="仿宋_GB2312" w:eastAsia="仿宋_GB2312"/>
          <w:sz w:val="32"/>
          <w:szCs w:val="32"/>
        </w:rPr>
      </w:pPr>
      <w:r>
        <w:drawing>
          <wp:inline distT="0" distB="0" distL="114300" distR="114300">
            <wp:extent cx="5262880" cy="2265045"/>
            <wp:effectExtent l="0" t="0" r="13970" b="1905"/>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pic:cNvPicPr>
                      <a:picLocks noChangeAspect="1"/>
                    </pic:cNvPicPr>
                  </pic:nvPicPr>
                  <pic:blipFill>
                    <a:blip r:embed="rId36"/>
                    <a:stretch>
                      <a:fillRect/>
                    </a:stretch>
                  </pic:blipFill>
                  <pic:spPr>
                    <a:xfrm>
                      <a:off x="0" y="0"/>
                      <a:ext cx="5262880" cy="2265045"/>
                    </a:xfrm>
                    <a:prstGeom prst="rect">
                      <a:avLst/>
                    </a:prstGeom>
                    <a:noFill/>
                    <a:ln w="9525">
                      <a:noFill/>
                    </a:ln>
                  </pic:spPr>
                </pic:pic>
              </a:graphicData>
            </a:graphic>
          </wp:inline>
        </w:drawing>
      </w:r>
    </w:p>
    <w:p>
      <w:pPr>
        <w:ind w:left="420" w:leftChars="200"/>
        <w:jc w:val="left"/>
        <w:rPr>
          <w:rFonts w:ascii="仿宋_GB2312" w:eastAsia="仿宋_GB2312"/>
          <w:sz w:val="32"/>
          <w:szCs w:val="32"/>
        </w:rPr>
      </w:pPr>
      <w:r>
        <w:rPr>
          <w:rFonts w:hint="eastAsia" w:ascii="仿宋_GB2312" w:eastAsia="仿宋_GB2312"/>
          <w:sz w:val="32"/>
          <w:szCs w:val="32"/>
        </w:rPr>
        <w:drawing>
          <wp:inline distT="0" distB="0" distL="114300" distR="114300">
            <wp:extent cx="5270500" cy="1699260"/>
            <wp:effectExtent l="0" t="0" r="6350" b="1524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37"/>
                    <a:stretch>
                      <a:fillRect/>
                    </a:stretch>
                  </pic:blipFill>
                  <pic:spPr>
                    <a:xfrm>
                      <a:off x="0" y="0"/>
                      <a:ext cx="5270500" cy="169926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（2）核实修改“本期发生额”</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电子税务局按规则自动生成第2列“本期发生额”，请根据实际情况进行修改。</w:t>
      </w:r>
    </w:p>
    <w:p>
      <w:pPr>
        <w:jc w:val="left"/>
        <w:rPr>
          <w:rFonts w:ascii="仿宋_GB2312" w:eastAsia="仿宋_GB2312"/>
          <w:sz w:val="32"/>
          <w:szCs w:val="32"/>
        </w:rPr>
      </w:pPr>
      <w:r>
        <w:drawing>
          <wp:inline distT="0" distB="0" distL="114300" distR="114300">
            <wp:extent cx="5264150" cy="2585720"/>
            <wp:effectExtent l="0" t="0" r="12700" b="5080"/>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38"/>
                    <a:stretch>
                      <a:fillRect/>
                    </a:stretch>
                  </pic:blipFill>
                  <pic:spPr>
                    <a:xfrm>
                      <a:off x="0" y="0"/>
                      <a:ext cx="5264150" cy="258572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（3）录入第3列“本期调减额”。</w:t>
      </w:r>
    </w:p>
    <w:p>
      <w:pPr>
        <w:jc w:val="left"/>
        <w:rPr>
          <w:rFonts w:ascii="仿宋_GB2312" w:eastAsia="仿宋_GB2312"/>
          <w:sz w:val="32"/>
          <w:szCs w:val="32"/>
        </w:rPr>
      </w:pPr>
      <w:r>
        <w:drawing>
          <wp:inline distT="0" distB="0" distL="114300" distR="114300">
            <wp:extent cx="5264150" cy="2585720"/>
            <wp:effectExtent l="0" t="0" r="12700" b="508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38"/>
                    <a:stretch>
                      <a:fillRect/>
                    </a:stretch>
                  </pic:blipFill>
                  <pic:spPr>
                    <a:xfrm>
                      <a:off x="0" y="0"/>
                      <a:ext cx="5264150" cy="258572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（4）第4、6列由系统根据公式生成，不可修改，第5列“本期实际抵减额”根据规则生成，请核实。填写完成，点击左上角“保存”按钮。</w:t>
      </w:r>
    </w:p>
    <w:p>
      <w:pPr>
        <w:jc w:val="left"/>
        <w:rPr>
          <w:rFonts w:ascii="仿宋_GB2312" w:eastAsia="仿宋_GB2312"/>
          <w:sz w:val="32"/>
          <w:szCs w:val="32"/>
        </w:rPr>
      </w:pPr>
      <w:r>
        <w:rPr>
          <w:rFonts w:hint="eastAsia" w:ascii="仿宋_GB2312" w:eastAsia="仿宋_GB2312"/>
          <w:sz w:val="32"/>
          <w:szCs w:val="32"/>
        </w:rPr>
        <w:drawing>
          <wp:inline distT="0" distB="0" distL="114300" distR="114300">
            <wp:extent cx="5265420" cy="1386840"/>
            <wp:effectExtent l="0" t="0" r="11430" b="381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39"/>
                    <a:stretch>
                      <a:fillRect/>
                    </a:stretch>
                  </pic:blipFill>
                  <pic:spPr>
                    <a:xfrm>
                      <a:off x="0" y="0"/>
                      <a:ext cx="5265420" cy="138684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（四）减免税相关情况的填写</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1.《增值税纳税申报表附列资料（四）》保存后，会自动弹出《增值税减免税申报明细表》；也可点击报表填写目录下《增值税减免税申报明细表》后面的“填写”。</w:t>
      </w:r>
    </w:p>
    <w:p>
      <w:pPr>
        <w:jc w:val="left"/>
        <w:rPr>
          <w:rFonts w:ascii="仿宋_GB2312" w:eastAsia="仿宋_GB2312"/>
          <w:sz w:val="32"/>
          <w:szCs w:val="32"/>
        </w:rPr>
      </w:pPr>
      <w:r>
        <w:drawing>
          <wp:inline distT="0" distB="0" distL="114300" distR="114300">
            <wp:extent cx="5270500" cy="2251710"/>
            <wp:effectExtent l="0" t="0" r="6350" b="1524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pic:cNvPicPr>
                  </pic:nvPicPr>
                  <pic:blipFill>
                    <a:blip r:embed="rId40"/>
                    <a:stretch>
                      <a:fillRect/>
                    </a:stretch>
                  </pic:blipFill>
                  <pic:spPr>
                    <a:xfrm>
                      <a:off x="0" y="0"/>
                      <a:ext cx="5270500" cy="225171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2.选择对应的减免税性质代码及名称。</w:t>
      </w:r>
    </w:p>
    <w:p>
      <w:pPr>
        <w:jc w:val="left"/>
        <w:rPr>
          <w:rFonts w:ascii="仿宋_GB2312" w:eastAsia="仿宋_GB2312"/>
          <w:sz w:val="32"/>
          <w:szCs w:val="32"/>
        </w:rPr>
      </w:pPr>
      <w:r>
        <w:drawing>
          <wp:inline distT="0" distB="0" distL="114300" distR="114300">
            <wp:extent cx="5273675" cy="2358390"/>
            <wp:effectExtent l="0" t="0" r="3175" b="3810"/>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41"/>
                    <a:stretch>
                      <a:fillRect/>
                    </a:stretch>
                  </pic:blipFill>
                  <pic:spPr>
                    <a:xfrm>
                      <a:off x="0" y="0"/>
                      <a:ext cx="5273675" cy="235839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3.享受多个减税政策的，点击左上角“增减税”；享受多个免税政策的，点击左上角“增免税”；</w:t>
      </w:r>
    </w:p>
    <w:p>
      <w:pPr>
        <w:jc w:val="left"/>
        <w:rPr>
          <w:rFonts w:ascii="仿宋_GB2312" w:eastAsia="仿宋_GB2312"/>
          <w:sz w:val="32"/>
          <w:szCs w:val="32"/>
        </w:rPr>
      </w:pPr>
      <w:r>
        <w:drawing>
          <wp:inline distT="0" distB="0" distL="114300" distR="114300">
            <wp:extent cx="5262245" cy="2358390"/>
            <wp:effectExtent l="0" t="0" r="14605" b="3810"/>
            <wp:docPr id="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
                    <pic:cNvPicPr>
                      <a:picLocks noChangeAspect="1"/>
                    </pic:cNvPicPr>
                  </pic:nvPicPr>
                  <pic:blipFill>
                    <a:blip r:embed="rId42"/>
                    <a:stretch>
                      <a:fillRect/>
                    </a:stretch>
                  </pic:blipFill>
                  <pic:spPr>
                    <a:xfrm>
                      <a:off x="0" y="0"/>
                      <a:ext cx="5262245" cy="235839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4.如需删除，将鼠标放至需要删除的行，点左上角“删行”。</w:t>
      </w:r>
    </w:p>
    <w:p>
      <w:pPr>
        <w:jc w:val="left"/>
        <w:rPr>
          <w:rFonts w:ascii="仿宋_GB2312" w:eastAsia="仿宋_GB2312"/>
          <w:sz w:val="32"/>
          <w:szCs w:val="32"/>
        </w:rPr>
      </w:pPr>
      <w:r>
        <w:drawing>
          <wp:inline distT="0" distB="0" distL="114300" distR="114300">
            <wp:extent cx="5264150" cy="2404110"/>
            <wp:effectExtent l="0" t="0" r="12700" b="15240"/>
            <wp:docPr id="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pic:cNvPicPr>
                      <a:picLocks noChangeAspect="1"/>
                    </pic:cNvPicPr>
                  </pic:nvPicPr>
                  <pic:blipFill>
                    <a:blip r:embed="rId43"/>
                    <a:stretch>
                      <a:fillRect/>
                    </a:stretch>
                  </pic:blipFill>
                  <pic:spPr>
                    <a:xfrm>
                      <a:off x="0" y="0"/>
                      <a:ext cx="5264150" cy="240411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5.填写完成后，点击左上角“保存”。</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（五）填写主表</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1.《增值税减免税申报明细表》保存后，会自动弹出》增值税纳税申报表（一般纳税人适用）》；也可点击报表填写目录下《增值税纳税申报表（一般纳税人适用）》后面的“填写”。该表数据已根据主附表关系自动生成，请核实修改。</w:t>
      </w:r>
    </w:p>
    <w:p>
      <w:pPr>
        <w:jc w:val="left"/>
        <w:rPr>
          <w:rFonts w:ascii="仿宋_GB2312" w:eastAsia="仿宋_GB2312"/>
          <w:sz w:val="32"/>
          <w:szCs w:val="32"/>
        </w:rPr>
      </w:pPr>
      <w:r>
        <w:drawing>
          <wp:inline distT="0" distB="0" distL="114300" distR="114300">
            <wp:extent cx="5264785" cy="3366770"/>
            <wp:effectExtent l="0" t="0" r="12065" b="508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44"/>
                    <a:stretch>
                      <a:fillRect/>
                    </a:stretch>
                  </pic:blipFill>
                  <pic:spPr>
                    <a:xfrm>
                      <a:off x="0" y="0"/>
                      <a:ext cx="5264785" cy="336677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2.核实销售额，并对第2栏“其中：应税货物销售额”和第9栏“其中：免税货物销售额”进行修改。第2栏中减少的数额会进入第3栏，第9栏中减少的数额会进入第10栏。</w:t>
      </w:r>
    </w:p>
    <w:p>
      <w:pPr>
        <w:jc w:val="left"/>
        <w:rPr>
          <w:rFonts w:ascii="仿宋_GB2312" w:eastAsia="仿宋_GB2312"/>
          <w:sz w:val="32"/>
          <w:szCs w:val="32"/>
        </w:rPr>
      </w:pPr>
      <w:r>
        <w:drawing>
          <wp:inline distT="0" distB="0" distL="114300" distR="114300">
            <wp:extent cx="5273675" cy="3359150"/>
            <wp:effectExtent l="0" t="0" r="3175" b="12700"/>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45"/>
                    <a:stretch>
                      <a:fillRect/>
                    </a:stretch>
                  </pic:blipFill>
                  <pic:spPr>
                    <a:xfrm>
                      <a:off x="0" y="0"/>
                      <a:ext cx="5273675" cy="335915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3.核实“税款计算”。享受即征即退政策的纳税人，需要拆分一般项目和即征即退项目的进项税额、进项税额转出和应纳税额减征额，通过在“即征即退项目”下面的第12栏、14栏、23栏录入来实现。</w:t>
      </w:r>
    </w:p>
    <w:p>
      <w:pPr>
        <w:jc w:val="left"/>
        <w:rPr>
          <w:rFonts w:ascii="仿宋_GB2312" w:eastAsia="仿宋_GB2312"/>
          <w:sz w:val="32"/>
          <w:szCs w:val="32"/>
        </w:rPr>
      </w:pPr>
      <w:r>
        <w:drawing>
          <wp:inline distT="0" distB="0" distL="114300" distR="114300">
            <wp:extent cx="5271135" cy="3643630"/>
            <wp:effectExtent l="0" t="0" r="5715" b="13970"/>
            <wp:docPr id="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7"/>
                    <pic:cNvPicPr>
                      <a:picLocks noChangeAspect="1"/>
                    </pic:cNvPicPr>
                  </pic:nvPicPr>
                  <pic:blipFill>
                    <a:blip r:embed="rId46"/>
                    <a:stretch>
                      <a:fillRect/>
                    </a:stretch>
                  </pic:blipFill>
                  <pic:spPr>
                    <a:xfrm>
                      <a:off x="0" y="0"/>
                      <a:ext cx="5271135" cy="364363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4.核实“税款缴纳”，重点关注第28栏、第30栏、第34栏。核实无误后，点击“保存”完成报表填写。</w:t>
      </w:r>
    </w:p>
    <w:p>
      <w:pPr>
        <w:jc w:val="left"/>
      </w:pPr>
      <w:r>
        <w:drawing>
          <wp:inline distT="0" distB="0" distL="114300" distR="114300">
            <wp:extent cx="5274310" cy="2753360"/>
            <wp:effectExtent l="0" t="0" r="2540" b="8890"/>
            <wp:docPr id="8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8"/>
                    <pic:cNvPicPr>
                      <a:picLocks noChangeAspect="1"/>
                    </pic:cNvPicPr>
                  </pic:nvPicPr>
                  <pic:blipFill>
                    <a:blip r:embed="rId47"/>
                    <a:stretch>
                      <a:fillRect/>
                    </a:stretch>
                  </pic:blipFill>
                  <pic:spPr>
                    <a:xfrm>
                      <a:off x="0" y="0"/>
                      <a:ext cx="5274310" cy="2753360"/>
                    </a:xfrm>
                    <a:prstGeom prst="rect">
                      <a:avLst/>
                    </a:prstGeom>
                    <a:noFill/>
                    <a:ln w="9525">
                      <a:noFill/>
                    </a:ln>
                  </pic:spPr>
                </pic:pic>
              </a:graphicData>
            </a:graphic>
          </wp:inline>
        </w:drawing>
      </w:r>
    </w:p>
    <w:p>
      <w:pPr>
        <w:ind w:firstLine="560" w:firstLineChars="200"/>
        <w:jc w:val="left"/>
        <w:rPr>
          <w:rFonts w:hint="default"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（六）填写</w:t>
      </w:r>
      <w:r>
        <w:rPr>
          <w:rFonts w:hint="default" w:ascii="仿宋_GB2312" w:hAnsi="黑体" w:eastAsia="仿宋_GB2312" w:cs="仿宋"/>
          <w:bCs/>
          <w:color w:val="auto"/>
          <w:sz w:val="28"/>
          <w:szCs w:val="28"/>
          <w:lang w:val="en-US" w:eastAsia="zh-CN"/>
        </w:rPr>
        <w:t>增值税及附加税费申报表附列资料（五）（附加税费情况表）</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《增值税纳税申报表（一般纳税人适用）》保存后，点击报表填写目录下《</w:t>
      </w:r>
      <w:r>
        <w:rPr>
          <w:rFonts w:hint="default" w:ascii="仿宋_GB2312" w:hAnsi="黑体" w:eastAsia="仿宋_GB2312" w:cs="仿宋"/>
          <w:bCs/>
          <w:color w:val="auto"/>
          <w:sz w:val="28"/>
          <w:szCs w:val="28"/>
          <w:lang w:val="en-US" w:eastAsia="zh-CN"/>
        </w:rPr>
        <w:t>增值税及附加税费申报表附列资料（五）（附加税费情况表）</w:t>
      </w:r>
      <w:r>
        <w:rPr>
          <w:rFonts w:hint="eastAsia" w:ascii="仿宋_GB2312" w:hAnsi="黑体" w:eastAsia="仿宋_GB2312" w:cs="仿宋"/>
          <w:bCs/>
          <w:color w:val="auto"/>
          <w:sz w:val="28"/>
          <w:szCs w:val="28"/>
          <w:lang w:val="en-US" w:eastAsia="zh-CN"/>
        </w:rPr>
        <w:t>》后面的“填写”。该表数据已根据主附表关系自动生成，请核实修改。</w:t>
      </w:r>
    </w:p>
    <w:p>
      <w:pPr>
        <w:jc w:val="left"/>
      </w:pPr>
      <w:r>
        <w:drawing>
          <wp:inline distT="0" distB="0" distL="114300" distR="114300">
            <wp:extent cx="5264785" cy="2540635"/>
            <wp:effectExtent l="0" t="0" r="1206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tretch>
                      <a:fillRect/>
                    </a:stretch>
                  </pic:blipFill>
                  <pic:spPr>
                    <a:xfrm>
                      <a:off x="0" y="0"/>
                      <a:ext cx="5264785" cy="2540635"/>
                    </a:xfrm>
                    <a:prstGeom prst="rect">
                      <a:avLst/>
                    </a:prstGeom>
                    <a:noFill/>
                    <a:ln w="9525">
                      <a:noFill/>
                    </a:ln>
                  </pic:spPr>
                </pic:pic>
              </a:graphicData>
            </a:graphic>
          </wp:inline>
        </w:drawing>
      </w:r>
    </w:p>
    <w:p>
      <w:pPr>
        <w:jc w:val="left"/>
      </w:pPr>
      <w:r>
        <w:drawing>
          <wp:inline distT="0" distB="0" distL="114300" distR="114300">
            <wp:extent cx="5274310" cy="1956435"/>
            <wp:effectExtent l="0" t="0" r="254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9"/>
                    <a:stretch>
                      <a:fillRect/>
                    </a:stretch>
                  </pic:blipFill>
                  <pic:spPr>
                    <a:xfrm>
                      <a:off x="0" y="0"/>
                      <a:ext cx="5274310" cy="1956435"/>
                    </a:xfrm>
                    <a:prstGeom prst="rect">
                      <a:avLst/>
                    </a:prstGeom>
                    <a:noFill/>
                    <a:ln w="9525">
                      <a:noFill/>
                    </a:ln>
                  </pic:spPr>
                </pic:pic>
              </a:graphicData>
            </a:graphic>
          </wp:inline>
        </w:drawing>
      </w:r>
    </w:p>
    <w:p>
      <w:pPr>
        <w:pStyle w:val="2"/>
        <w:spacing w:before="240" w:after="24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四、进行申报</w:t>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1.点击左侧“报表申报”，出现下图</w:t>
      </w:r>
    </w:p>
    <w:p>
      <w:pPr>
        <w:jc w:val="left"/>
        <w:rPr>
          <w:rFonts w:ascii="仿宋_GB2312" w:eastAsia="仿宋_GB2312"/>
          <w:sz w:val="32"/>
          <w:szCs w:val="32"/>
        </w:rPr>
      </w:pPr>
      <w:r>
        <w:rPr>
          <w:rFonts w:hint="eastAsia" w:ascii="仿宋_GB2312" w:eastAsia="仿宋_GB2312"/>
          <w:sz w:val="32"/>
          <w:szCs w:val="32"/>
        </w:rPr>
        <w:drawing>
          <wp:inline distT="0" distB="0" distL="114300" distR="114300">
            <wp:extent cx="5261610" cy="1781810"/>
            <wp:effectExtent l="0" t="0" r="15240" b="88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0"/>
                    <a:stretch>
                      <a:fillRect/>
                    </a:stretch>
                  </pic:blipFill>
                  <pic:spPr>
                    <a:xfrm>
                      <a:off x="0" y="0"/>
                      <a:ext cx="5261610" cy="1781810"/>
                    </a:xfrm>
                    <a:prstGeom prst="rect">
                      <a:avLst/>
                    </a:prstGeom>
                    <a:noFill/>
                    <a:ln w="9525">
                      <a:noFill/>
                    </a:ln>
                  </pic:spPr>
                </pic:pic>
              </a:graphicData>
            </a:graphic>
          </wp:inline>
        </w:drawing>
      </w:r>
    </w:p>
    <w:p>
      <w:pPr>
        <w:ind w:firstLine="560" w:firstLineChars="200"/>
        <w:jc w:val="left"/>
        <w:rPr>
          <w:rFonts w:hint="eastAsia" w:ascii="仿宋_GB2312" w:hAnsi="黑体" w:eastAsia="仿宋_GB2312" w:cs="仿宋"/>
          <w:bCs/>
          <w:color w:val="auto"/>
          <w:sz w:val="28"/>
          <w:szCs w:val="28"/>
          <w:lang w:val="en-US" w:eastAsia="zh-CN"/>
        </w:rPr>
      </w:pPr>
      <w:r>
        <w:rPr>
          <w:rFonts w:hint="eastAsia" w:ascii="仿宋_GB2312" w:hAnsi="黑体" w:eastAsia="仿宋_GB2312" w:cs="仿宋"/>
          <w:bCs/>
          <w:color w:val="auto"/>
          <w:sz w:val="28"/>
          <w:szCs w:val="28"/>
          <w:lang w:val="en-US" w:eastAsia="zh-CN"/>
        </w:rPr>
        <w:t>2.点击“申报”，根据系统提示操作，即可完成报表申报，通过点击右上方的“刷新”按钮，可查看申报结果。申报状态为“申报成功”代表申报表已传至税务机关核心征管系统。</w:t>
      </w:r>
    </w:p>
    <w:p>
      <w:pPr>
        <w:jc w:val="left"/>
        <w:rPr>
          <w:rFonts w:hint="eastAsia" w:ascii="仿宋_GB2312" w:eastAsia="仿宋_GB2312"/>
          <w:sz w:val="32"/>
          <w:szCs w:val="32"/>
        </w:rPr>
      </w:pPr>
      <w:r>
        <w:rPr>
          <w:rFonts w:hint="eastAsia" w:ascii="仿宋_GB2312" w:eastAsia="仿宋_GB2312"/>
          <w:sz w:val="32"/>
          <w:szCs w:val="32"/>
        </w:rPr>
        <w:drawing>
          <wp:inline distT="0" distB="0" distL="114300" distR="114300">
            <wp:extent cx="5269865" cy="1574165"/>
            <wp:effectExtent l="0" t="0" r="6985" b="6985"/>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pic:cNvPicPr>
                      <a:picLocks noChangeAspect="1"/>
                    </pic:cNvPicPr>
                  </pic:nvPicPr>
                  <pic:blipFill>
                    <a:blip r:embed="rId51"/>
                    <a:stretch>
                      <a:fillRect/>
                    </a:stretch>
                  </pic:blipFill>
                  <pic:spPr>
                    <a:xfrm>
                      <a:off x="0" y="0"/>
                      <a:ext cx="5269865" cy="1574165"/>
                    </a:xfrm>
                    <a:prstGeom prst="rect">
                      <a:avLst/>
                    </a:prstGeom>
                    <a:noFill/>
                    <a:ln w="9525">
                      <a:noFill/>
                    </a:ln>
                  </pic:spPr>
                </pic:pic>
              </a:graphicData>
            </a:graphic>
          </wp:inline>
        </w:drawing>
      </w:r>
    </w:p>
    <w:p>
      <w:pPr>
        <w:pStyle w:val="2"/>
        <w:spacing w:before="240" w:after="24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五、申报作废</w:t>
      </w:r>
    </w:p>
    <w:p>
      <w:pPr>
        <w:numPr>
          <w:ilvl w:val="0"/>
          <w:numId w:val="0"/>
        </w:numPr>
        <w:ind w:leftChars="46" w:firstLine="580"/>
        <w:jc w:val="left"/>
        <w:rPr>
          <w:rFonts w:hint="eastAsia" w:ascii="仿宋_GB2312" w:hAnsi="黑体" w:eastAsia="仿宋_GB2312" w:cs="仿宋"/>
          <w:bCs/>
          <w:sz w:val="28"/>
          <w:szCs w:val="28"/>
          <w:lang w:val="en-US" w:eastAsia="zh-CN"/>
        </w:rPr>
      </w:pPr>
      <w:r>
        <w:rPr>
          <w:rFonts w:hint="eastAsia" w:ascii="仿宋_GB2312" w:hAnsi="黑体" w:eastAsia="仿宋_GB2312" w:cs="仿宋"/>
          <w:bCs/>
          <w:sz w:val="28"/>
          <w:szCs w:val="28"/>
          <w:lang w:val="en-US" w:eastAsia="zh-CN"/>
        </w:rPr>
        <w:t>报表申报错误的，可通过“申报作废”功能作废申报表后再重新申报。</w:t>
      </w:r>
    </w:p>
    <w:p>
      <w:pPr>
        <w:jc w:val="both"/>
      </w:pPr>
    </w:p>
    <w:p>
      <w:pPr>
        <w:pStyle w:val="2"/>
        <w:spacing w:before="240" w:after="24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六、税费缴纳</w:t>
      </w:r>
    </w:p>
    <w:p>
      <w:pPr>
        <w:numPr>
          <w:ilvl w:val="0"/>
          <w:numId w:val="0"/>
        </w:numPr>
        <w:ind w:leftChars="46" w:firstLine="580"/>
        <w:jc w:val="left"/>
        <w:rPr>
          <w:rFonts w:hint="eastAsia" w:ascii="仿宋_GB2312" w:hAnsi="黑体" w:eastAsia="仿宋_GB2312" w:cs="仿宋"/>
          <w:bCs/>
          <w:sz w:val="28"/>
          <w:szCs w:val="28"/>
          <w:lang w:val="en-US" w:eastAsia="zh-CN"/>
        </w:rPr>
      </w:pPr>
      <w:r>
        <w:rPr>
          <w:rFonts w:hint="eastAsia" w:ascii="仿宋_GB2312" w:hAnsi="黑体" w:eastAsia="仿宋_GB2312" w:cs="仿宋"/>
          <w:bCs/>
          <w:sz w:val="28"/>
          <w:szCs w:val="28"/>
          <w:lang w:val="en-US" w:eastAsia="zh-CN"/>
        </w:rPr>
        <w:t>1.对于产生应纳税额的，点击左侧的“税费缴纳”按钮进行缴款。</w:t>
      </w:r>
    </w:p>
    <w:p>
      <w:pPr>
        <w:numPr>
          <w:ilvl w:val="0"/>
          <w:numId w:val="0"/>
        </w:numPr>
        <w:ind w:leftChars="46" w:firstLine="580"/>
        <w:jc w:val="left"/>
        <w:rPr>
          <w:rFonts w:hint="eastAsia" w:ascii="仿宋_GB2312" w:eastAsia="仿宋_GB2312"/>
          <w:sz w:val="32"/>
          <w:szCs w:val="32"/>
        </w:rPr>
      </w:pPr>
      <w:r>
        <w:rPr>
          <w:rFonts w:hint="eastAsia" w:ascii="仿宋_GB2312" w:hAnsi="黑体" w:eastAsia="仿宋_GB2312" w:cs="仿宋"/>
          <w:bCs/>
          <w:sz w:val="28"/>
          <w:szCs w:val="28"/>
          <w:lang w:val="en-US" w:eastAsia="zh-CN"/>
        </w:rPr>
        <w:t>2.缴款方式可选择三方协议缴税或二维码缴税。</w:t>
      </w:r>
    </w:p>
    <w:p>
      <w:pPr>
        <w:jc w:val="left"/>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4A4C1E"/>
    <w:rsid w:val="004269D9"/>
    <w:rsid w:val="004F6CB2"/>
    <w:rsid w:val="005C3DB0"/>
    <w:rsid w:val="005C5CC5"/>
    <w:rsid w:val="006301DA"/>
    <w:rsid w:val="006B44AC"/>
    <w:rsid w:val="007D44F4"/>
    <w:rsid w:val="00863F63"/>
    <w:rsid w:val="00902A45"/>
    <w:rsid w:val="0092329A"/>
    <w:rsid w:val="00933BFE"/>
    <w:rsid w:val="00B25057"/>
    <w:rsid w:val="00BB07D9"/>
    <w:rsid w:val="05670BF4"/>
    <w:rsid w:val="066D68EB"/>
    <w:rsid w:val="08F029F4"/>
    <w:rsid w:val="0A035834"/>
    <w:rsid w:val="0BF81610"/>
    <w:rsid w:val="0E42701E"/>
    <w:rsid w:val="104D7984"/>
    <w:rsid w:val="13312EF8"/>
    <w:rsid w:val="194B57D5"/>
    <w:rsid w:val="1CCD2115"/>
    <w:rsid w:val="21FE0798"/>
    <w:rsid w:val="2B3F701E"/>
    <w:rsid w:val="33E5715C"/>
    <w:rsid w:val="3442078E"/>
    <w:rsid w:val="36A271D5"/>
    <w:rsid w:val="382F73A5"/>
    <w:rsid w:val="3B381500"/>
    <w:rsid w:val="3BE76D36"/>
    <w:rsid w:val="3CA459CF"/>
    <w:rsid w:val="3E712FCE"/>
    <w:rsid w:val="49606286"/>
    <w:rsid w:val="4AED549B"/>
    <w:rsid w:val="4EFC39B1"/>
    <w:rsid w:val="50F37EDA"/>
    <w:rsid w:val="52B7240C"/>
    <w:rsid w:val="53853701"/>
    <w:rsid w:val="5C7D25AE"/>
    <w:rsid w:val="5F4A4C1E"/>
    <w:rsid w:val="601E2A84"/>
    <w:rsid w:val="64E90CDA"/>
    <w:rsid w:val="65761AD4"/>
    <w:rsid w:val="69C1115C"/>
    <w:rsid w:val="6E635751"/>
    <w:rsid w:val="6EC951A3"/>
    <w:rsid w:val="70782424"/>
    <w:rsid w:val="74AB744C"/>
    <w:rsid w:val="7C363ADD"/>
    <w:rsid w:val="7CF325E8"/>
    <w:rsid w:val="7EFB4842"/>
    <w:rsid w:val="7F4F5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4"/>
    <w:basedOn w:val="1"/>
    <w:next w:val="1"/>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8">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4">
    <w:name w:val="Plain Text"/>
    <w:basedOn w:val="1"/>
    <w:qFormat/>
    <w:uiPriority w:val="0"/>
    <w:pPr>
      <w:adjustRightInd w:val="0"/>
      <w:spacing w:line="312" w:lineRule="atLeast"/>
    </w:pPr>
    <w:rPr>
      <w:rFonts w:ascii="宋体" w:hAnsi="Courier New" w:cs="Courier New"/>
      <w:kern w:val="0"/>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FollowedHyperlink"/>
    <w:basedOn w:val="8"/>
    <w:qFormat/>
    <w:uiPriority w:val="0"/>
    <w:rPr>
      <w:color w:val="222222"/>
      <w:sz w:val="18"/>
      <w:szCs w:val="18"/>
      <w:u w:val="none"/>
    </w:rPr>
  </w:style>
  <w:style w:type="character" w:styleId="10">
    <w:name w:val="Hyperlink"/>
    <w:basedOn w:val="8"/>
    <w:qFormat/>
    <w:uiPriority w:val="0"/>
    <w:rPr>
      <w:color w:val="222222"/>
      <w:sz w:val="18"/>
      <w:szCs w:val="18"/>
      <w:u w:val="none"/>
    </w:rPr>
  </w:style>
  <w:style w:type="paragraph" w:customStyle="1" w:styleId="12">
    <w:name w:val="List Paragraph"/>
    <w:basedOn w:val="1"/>
    <w:qFormat/>
    <w:uiPriority w:val="99"/>
    <w:pPr>
      <w:ind w:firstLine="420" w:firstLineChars="200"/>
    </w:pPr>
  </w:style>
  <w:style w:type="character" w:customStyle="1" w:styleId="13">
    <w:name w:val="hover1"/>
    <w:basedOn w:val="8"/>
    <w:qFormat/>
    <w:uiPriority w:val="0"/>
  </w:style>
  <w:style w:type="character" w:customStyle="1" w:styleId="14">
    <w:name w:val="hover2"/>
    <w:basedOn w:val="8"/>
    <w:qFormat/>
    <w:uiPriority w:val="0"/>
  </w:style>
  <w:style w:type="character" w:customStyle="1" w:styleId="15">
    <w:name w:val="red"/>
    <w:basedOn w:val="8"/>
    <w:qFormat/>
    <w:uiPriority w:val="0"/>
    <w:rPr>
      <w:rFonts w:hint="eastAsia" w:ascii="宋体" w:hAnsi="宋体" w:eastAsia="宋体" w:cs="宋体"/>
      <w:b/>
      <w:color w:val="FF0000"/>
    </w:rPr>
  </w:style>
  <w:style w:type="character" w:customStyle="1" w:styleId="16">
    <w:name w:val="tree-text"/>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544</Words>
  <Characters>3105</Characters>
  <Lines>25</Lines>
  <Paragraphs>7</Paragraphs>
  <TotalTime>16</TotalTime>
  <ScaleCrop>false</ScaleCrop>
  <LinksUpToDate>false</LinksUpToDate>
  <CharactersWithSpaces>3642</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2019-04-23T00:40:00Z</dcterms:created>
  <dc:creator>Administrator</dc:creator>
  <cp:lastModifiedBy>xg</cp:lastModifiedBy>
  <dcterms:modified xsi:type="dcterms:W3CDTF">2021-07-27T09:32:59Z</dcterms:modified>
  <dc:title>增值税及附加税费申报表</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