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  <w:t>增值税及附加税费申报表</w:t>
      </w:r>
    </w:p>
    <w:p>
      <w:pPr>
        <w:spacing w:line="360" w:lineRule="auto"/>
        <w:jc w:val="center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  <w:t>（小规模纳税人适用）</w:t>
      </w:r>
    </w:p>
    <w:p>
      <w:pPr>
        <w:spacing w:line="360" w:lineRule="auto"/>
        <w:jc w:val="center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  <w:t>申报缴税</w:t>
      </w:r>
      <w:bookmarkStart w:id="0" w:name="_GoBack"/>
      <w:bookmarkEnd w:id="0"/>
      <w:r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  <w:t>操作手册</w:t>
      </w:r>
    </w:p>
    <w:p>
      <w:pPr>
        <w:spacing w:line="360" w:lineRule="auto"/>
        <w:jc w:val="center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jc w:val="center"/>
        <w:rPr>
          <w:rFonts w:ascii="微软雅黑" w:hAnsi="微软雅黑" w:eastAsia="微软雅黑" w:cs="仿宋"/>
          <w:b/>
          <w:bCs/>
          <w:sz w:val="32"/>
          <w:szCs w:val="32"/>
        </w:rPr>
      </w:pPr>
      <w:r>
        <w:rPr>
          <w:rFonts w:hint="eastAsia" w:ascii="微软雅黑" w:hAnsi="微软雅黑" w:eastAsia="微软雅黑" w:cs="仿宋"/>
          <w:b/>
          <w:bCs/>
          <w:sz w:val="32"/>
          <w:szCs w:val="32"/>
        </w:rPr>
        <w:t>202</w:t>
      </w:r>
      <w:r>
        <w:rPr>
          <w:rFonts w:hint="eastAsia" w:ascii="微软雅黑" w:hAnsi="微软雅黑" w:eastAsia="微软雅黑" w:cs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微软雅黑" w:hAnsi="微软雅黑" w:eastAsia="微软雅黑" w:cs="仿宋"/>
          <w:b/>
          <w:bCs/>
          <w:sz w:val="32"/>
          <w:szCs w:val="32"/>
        </w:rPr>
        <w:t>年</w:t>
      </w:r>
      <w:r>
        <w:rPr>
          <w:rFonts w:hint="eastAsia" w:ascii="微软雅黑" w:hAnsi="微软雅黑" w:eastAsia="微软雅黑" w:cs="仿宋"/>
          <w:b/>
          <w:bCs/>
          <w:sz w:val="32"/>
          <w:szCs w:val="32"/>
          <w:lang w:val="en-US" w:eastAsia="zh-CN"/>
        </w:rPr>
        <w:t>07</w:t>
      </w:r>
      <w:r>
        <w:rPr>
          <w:rFonts w:hint="eastAsia" w:ascii="微软雅黑" w:hAnsi="微软雅黑" w:eastAsia="微软雅黑" w:cs="仿宋"/>
          <w:b/>
          <w:bCs/>
          <w:sz w:val="32"/>
          <w:szCs w:val="32"/>
        </w:rPr>
        <w:t>月</w:t>
      </w:r>
    </w:p>
    <w:p>
      <w:pPr>
        <w:spacing w:line="360" w:lineRule="auto"/>
        <w:jc w:val="center"/>
        <w:rPr>
          <w:rFonts w:hint="eastAsia" w:ascii="微软雅黑" w:hAnsi="微软雅黑" w:eastAsia="微软雅黑" w:cs="仿宋"/>
          <w:b/>
          <w:bCs/>
          <w:sz w:val="56"/>
          <w:szCs w:val="56"/>
          <w:lang w:val="en-US" w:eastAsia="zh-CN"/>
        </w:rPr>
        <w:sectPr>
          <w:pgSz w:w="11906" w:h="16838"/>
          <w:pgMar w:top="1134" w:right="1797" w:bottom="1134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240" w:after="24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一、登录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t>1.增值税按月申报的小规模纳税人于月度终了、按季申报的在季度终了后15日内（期间如遇3天以上法定节假日会顺延）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办理申报缴税业务。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t>登录国家税务总局山西省电子税务局</w:t>
      </w:r>
    </w:p>
    <w:p>
      <w:pPr>
        <w:ind w:firstLine="560" w:firstLineChars="200"/>
        <w:jc w:val="left"/>
      </w:pPr>
      <w:r>
        <w:rPr>
          <w:rFonts w:hint="eastAsia" w:ascii="仿宋_GB2312" w:hAnsi="黑体" w:eastAsia="仿宋_GB2312" w:cs="仿宋"/>
          <w:bCs/>
          <w:color w:val="auto"/>
          <w:sz w:val="28"/>
          <w:szCs w:val="28"/>
        </w:rPr>
        <w:t>方式</w:t>
      </w:r>
      <w:r>
        <w:rPr>
          <w:rFonts w:hint="eastAsia" w:ascii="仿宋_GB2312" w:hAnsi="黑体" w:eastAsia="仿宋_GB2312" w:cs="仿宋"/>
          <w:bCs/>
          <w:color w:val="auto"/>
          <w:sz w:val="28"/>
          <w:szCs w:val="28"/>
          <w:lang w:eastAsia="zh-CN"/>
        </w:rPr>
        <w:t>一</w:t>
      </w:r>
      <w:r>
        <w:rPr>
          <w:rFonts w:hint="eastAsia" w:ascii="仿宋_GB2312" w:hAnsi="黑体" w:eastAsia="仿宋_GB2312" w:cs="仿宋"/>
          <w:bCs/>
          <w:color w:val="auto"/>
          <w:sz w:val="28"/>
          <w:szCs w:val="28"/>
        </w:rPr>
        <w:t>:通过国家税务总局山西省税务局门户网站登录。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1660525"/>
            <wp:effectExtent l="0" t="0" r="7620" b="15875"/>
            <wp:docPr id="3" name="图片 1" descr="314e9bd91ffad271e287733d988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314e9bd91ffad271e287733d98805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_GB2312" w:hAnsi="黑体" w:eastAsia="仿宋_GB2312" w:cs="仿宋"/>
          <w:bCs/>
          <w:color w:val="auto"/>
          <w:sz w:val="28"/>
          <w:szCs w:val="28"/>
        </w:rPr>
      </w:pPr>
      <w:r>
        <w:rPr>
          <w:rFonts w:hint="eastAsia" w:ascii="仿宋_GB2312" w:hAnsi="黑体" w:eastAsia="仿宋_GB2312" w:cs="仿宋"/>
          <w:bCs/>
          <w:color w:val="auto"/>
          <w:sz w:val="28"/>
          <w:szCs w:val="28"/>
        </w:rPr>
        <w:t>方式</w:t>
      </w:r>
      <w:r>
        <w:rPr>
          <w:rFonts w:hint="eastAsia" w:ascii="仿宋_GB2312" w:hAnsi="黑体" w:eastAsia="仿宋_GB2312" w:cs="仿宋"/>
          <w:bCs/>
          <w:color w:val="auto"/>
          <w:sz w:val="28"/>
          <w:szCs w:val="28"/>
          <w:lang w:eastAsia="zh-CN"/>
        </w:rPr>
        <w:t>二</w:t>
      </w:r>
      <w:r>
        <w:rPr>
          <w:rFonts w:hint="eastAsia" w:ascii="仿宋_GB2312" w:hAnsi="黑体" w:eastAsia="仿宋_GB2312" w:cs="仿宋"/>
          <w:bCs/>
          <w:color w:val="auto"/>
          <w:sz w:val="28"/>
          <w:szCs w:val="28"/>
        </w:rPr>
        <w:t>:使用</w:t>
      </w:r>
      <w:r>
        <w:rPr>
          <w:rFonts w:hint="eastAsia" w:ascii="仿宋_GB2312" w:hAnsi="黑体" w:eastAsia="仿宋_GB2312" w:cs="仿宋"/>
          <w:bCs/>
          <w:color w:val="auto"/>
          <w:sz w:val="28"/>
          <w:szCs w:val="28"/>
          <w:lang w:eastAsia="zh-CN"/>
        </w:rPr>
        <w:t>国家税务总局山西省电子税务局</w:t>
      </w:r>
      <w:r>
        <w:rPr>
          <w:rFonts w:hint="eastAsia" w:ascii="仿宋_GB2312" w:hAnsi="黑体" w:eastAsia="仿宋_GB2312" w:cs="仿宋"/>
          <w:bCs/>
          <w:color w:val="auto"/>
          <w:sz w:val="28"/>
          <w:szCs w:val="28"/>
        </w:rPr>
        <w:t>网址登录。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fldChar w:fldCharType="begin"/>
      </w:r>
      <w:r>
        <w:rPr>
          <w:rFonts w:hint="eastAsia" w:ascii="仿宋_GB2312" w:hAnsi="黑体" w:eastAsia="仿宋_GB2312" w:cs="仿宋"/>
          <w:bCs/>
          <w:sz w:val="28"/>
          <w:szCs w:val="28"/>
        </w:rPr>
        <w:instrText xml:space="preserve"> HYPERLINK "https://etax.shanxi.chinatax.gov.cn/login" </w:instrText>
      </w:r>
      <w:r>
        <w:rPr>
          <w:rFonts w:hint="eastAsia" w:ascii="仿宋_GB2312" w:hAnsi="黑体" w:eastAsia="仿宋_GB2312" w:cs="仿宋"/>
          <w:bCs/>
          <w:sz w:val="28"/>
          <w:szCs w:val="28"/>
        </w:rPr>
        <w:fldChar w:fldCharType="separate"/>
      </w:r>
      <w:r>
        <w:rPr>
          <w:rStyle w:val="5"/>
          <w:rFonts w:hint="eastAsia" w:ascii="仿宋_GB2312" w:hAnsi="黑体" w:eastAsia="仿宋_GB2312" w:cs="仿宋"/>
          <w:bCs/>
          <w:sz w:val="28"/>
          <w:szCs w:val="28"/>
        </w:rPr>
        <w:t>https://etax.shanxi.chinatax.gov.cn/login</w:t>
      </w:r>
      <w:r>
        <w:rPr>
          <w:rFonts w:hint="eastAsia" w:ascii="仿宋_GB2312" w:hAnsi="黑体" w:eastAsia="仿宋_GB2312" w:cs="仿宋"/>
          <w:bCs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t>2.点击右上角“登录”按钮</w:t>
      </w: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，以“企业登录”的方式</w:t>
      </w:r>
      <w:r>
        <w:rPr>
          <w:rFonts w:hint="eastAsia" w:ascii="仿宋_GB2312" w:hAnsi="黑体" w:eastAsia="仿宋_GB2312" w:cs="仿宋"/>
          <w:bCs/>
          <w:sz w:val="28"/>
          <w:szCs w:val="28"/>
        </w:rPr>
        <w:t>输入社会信用代码（或纳税人识别号）、密码</w:t>
      </w: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、手机号码以及验证码后</w:t>
      </w:r>
      <w:r>
        <w:rPr>
          <w:rFonts w:hint="eastAsia" w:ascii="仿宋_GB2312" w:hAnsi="黑体" w:eastAsia="仿宋_GB2312" w:cs="仿宋"/>
          <w:bCs/>
          <w:sz w:val="28"/>
          <w:szCs w:val="28"/>
        </w:rPr>
        <w:t>，</w:t>
      </w: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登录</w:t>
      </w:r>
      <w:r>
        <w:rPr>
          <w:rFonts w:hint="eastAsia" w:ascii="仿宋_GB2312" w:hAnsi="黑体" w:eastAsia="仿宋_GB2312" w:cs="仿宋"/>
          <w:bCs/>
          <w:sz w:val="28"/>
          <w:szCs w:val="28"/>
        </w:rPr>
        <w:t>进入电子税务局。</w:t>
      </w:r>
    </w:p>
    <w:p>
      <w:pPr>
        <w:jc w:val="center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仿宋_GB2312" w:hAnsi="黑体" w:eastAsia="仿宋_GB2312" w:cs="仿宋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331210" cy="2459990"/>
            <wp:effectExtent l="0" t="0" r="2540" b="16510"/>
            <wp:docPr id="4" name="图片 2" descr="ba648545a759d84d2fc96a295883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ba648545a759d84d2fc96a295883c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tx2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240" w:after="24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进入路径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首页→〖用户登录〗→〖我要办税〗→〖税费申报及缴纳〗</w:t>
      </w:r>
    </w:p>
    <w:p>
      <w:pPr>
        <w:pStyle w:val="2"/>
        <w:numPr>
          <w:ilvl w:val="0"/>
          <w:numId w:val="1"/>
        </w:numPr>
        <w:spacing w:before="240" w:after="24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1.</w:t>
      </w: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在首页屏幕下方查看“我的待办”，电子税务局会提示您当前未申报的税种及申报截止日期。点击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待办区的</w:t>
      </w: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“申报”按钮或“税费申报及缴纳”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模块办理申报缴税业务。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140960" cy="2533650"/>
            <wp:effectExtent l="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2.点击“增值税及附加税费申报表（小规模纳税人适用）”。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758055" cy="2591435"/>
            <wp:effectExtent l="0" t="0" r="4445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 w:ascii="仿宋" w:hAnsi="仿宋" w:eastAsia="仿宋" w:cs="仿宋"/>
          <w:szCs w:val="40"/>
          <w:lang w:val="en-US" w:eastAsia="zh-CN"/>
        </w:rPr>
      </w:pPr>
      <w:r>
        <w:rPr>
          <w:rFonts w:hint="eastAsia" w:ascii="仿宋" w:hAnsi="仿宋" w:eastAsia="仿宋" w:cs="仿宋"/>
          <w:szCs w:val="40"/>
          <w:lang w:val="en-US" w:eastAsia="zh-CN"/>
        </w:rPr>
        <w:t>报表</w:t>
      </w:r>
      <w:r>
        <w:rPr>
          <w:rFonts w:hint="eastAsia" w:ascii="仿宋" w:hAnsi="仿宋" w:eastAsia="仿宋" w:cs="仿宋"/>
          <w:szCs w:val="40"/>
          <w:lang w:eastAsia="zh-CN"/>
        </w:rPr>
        <w:t>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1.纳税人可自由选择是否使用《增值税小规模纳税人引导申报》表，点击此表确认带出开票数据后，系统将自动完成申报表的预填写。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2.也可直接点击《增值税小规模纳税人申报》自行填写报表数据。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87520" cy="2536825"/>
            <wp:effectExtent l="0" t="0" r="17780" b="1587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48885" cy="2443480"/>
            <wp:effectExtent l="0" t="0" r="18415" b="139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t>核实</w:t>
      </w: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《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增值税及附加税费申报表（小规模纳税人适用）</w:t>
      </w: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》</w:t>
      </w:r>
      <w:r>
        <w:rPr>
          <w:rFonts w:hint="eastAsia" w:ascii="仿宋_GB2312" w:hAnsi="黑体" w:eastAsia="仿宋_GB2312" w:cs="仿宋"/>
          <w:bCs/>
          <w:sz w:val="28"/>
          <w:szCs w:val="28"/>
        </w:rPr>
        <w:t>无误后，点击左上方的“保存”按钮。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黑体" w:eastAsia="仿宋_GB2312" w:cs="仿宋"/>
          <w:bCs/>
          <w:sz w:val="28"/>
          <w:szCs w:val="28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83355" cy="4267835"/>
            <wp:effectExtent l="0" t="0" r="17145" b="184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560" w:firstLineChars="200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根据纳税人实际生产经营情况，可填写《</w:t>
      </w:r>
      <w:r>
        <w:rPr>
          <w:rFonts w:hint="eastAsia" w:ascii="仿宋_GB2312" w:hAnsi="黑体" w:eastAsia="仿宋_GB2312" w:cs="仿宋"/>
          <w:bCs/>
          <w:sz w:val="28"/>
          <w:szCs w:val="28"/>
          <w:lang w:val="zh-CN" w:eastAsia="zh-CN"/>
        </w:rPr>
        <w:t>增值税及附加税费申报表（小规模纳税人适用）附列资料(一)（服务、不动产和无形资产扣除项目明细）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》。</w:t>
      </w:r>
    </w:p>
    <w:p>
      <w:pPr>
        <w:numPr>
          <w:ilvl w:val="0"/>
          <w:numId w:val="0"/>
        </w:numPr>
        <w:jc w:val="center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41850" cy="3122295"/>
            <wp:effectExtent l="0" t="0" r="635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832"/>
        </w:tabs>
        <w:ind w:firstLine="560" w:firstLineChars="200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如当前申报期存在减税或免税业务的，需同时填报《</w:t>
      </w:r>
      <w:r>
        <w:rPr>
          <w:rFonts w:hint="eastAsia" w:ascii="仿宋_GB2312" w:hAnsi="黑体" w:eastAsia="仿宋_GB2312" w:cs="仿宋"/>
          <w:bCs/>
          <w:sz w:val="28"/>
          <w:szCs w:val="28"/>
          <w:lang w:val="zh-CN" w:eastAsia="zh-CN"/>
        </w:rPr>
        <w:t>增值税减免税申报明细表》。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311140" cy="2705100"/>
            <wp:effectExtent l="0" t="0" r="381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numPr>
          <w:ilvl w:val="0"/>
          <w:numId w:val="3"/>
        </w:numPr>
        <w:tabs>
          <w:tab w:val="left" w:pos="832"/>
        </w:tabs>
        <w:ind w:firstLine="560" w:firstLineChars="200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至2021年8月起，增值税和附加税费进行整合，纳税人一并申报主附税。</w:t>
      </w:r>
    </w:p>
    <w:p>
      <w:pPr>
        <w:numPr>
          <w:ilvl w:val="0"/>
          <w:numId w:val="0"/>
        </w:numPr>
        <w:tabs>
          <w:tab w:val="left" w:pos="832"/>
        </w:tabs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 xml:space="preserve">    纳税人可通过《</w:t>
      </w:r>
      <w:r>
        <w:rPr>
          <w:rFonts w:hint="eastAsia" w:ascii="仿宋_GB2312" w:hAnsi="黑体" w:eastAsia="仿宋_GB2312" w:cs="仿宋"/>
          <w:bCs/>
          <w:sz w:val="28"/>
          <w:szCs w:val="28"/>
          <w:lang w:val="zh-CN" w:eastAsia="zh-CN"/>
        </w:rPr>
        <w:t>增值税及附加税费申报表（小规模纳税人适用）附列资料（二）（附加税费情况表）》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填写申报附加税费信息。也可通过主表25、26、27行下钻链接至该附表。</w:t>
      </w:r>
    </w:p>
    <w:p>
      <w:pPr>
        <w:jc w:val="both"/>
      </w:pPr>
      <w:r>
        <w:drawing>
          <wp:inline distT="0" distB="0" distL="114300" distR="114300">
            <wp:extent cx="5271770" cy="1635760"/>
            <wp:effectExtent l="0" t="0" r="5080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7.如果当前所属期不存在经营业务，</w:t>
      </w:r>
      <w:r>
        <w:rPr>
          <w:rFonts w:hint="eastAsia" w:ascii="仿宋_GB2312" w:hAnsi="黑体" w:eastAsia="仿宋_GB2312" w:cs="仿宋"/>
          <w:bCs/>
          <w:sz w:val="28"/>
          <w:szCs w:val="28"/>
          <w:lang w:eastAsia="zh-CN"/>
        </w:rPr>
        <w:t>可点击“一键零申报”按钮进行零申报增值税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及附加税费。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107815" cy="1903730"/>
            <wp:effectExtent l="0" t="0" r="6985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 w:ascii="仿宋" w:hAnsi="仿宋" w:eastAsia="仿宋" w:cs="仿宋"/>
          <w:szCs w:val="40"/>
          <w:lang w:val="en-US" w:eastAsia="zh-CN"/>
        </w:rPr>
      </w:pPr>
      <w:r>
        <w:rPr>
          <w:rFonts w:hint="eastAsia" w:ascii="仿宋" w:hAnsi="仿宋" w:eastAsia="仿宋" w:cs="仿宋"/>
          <w:szCs w:val="40"/>
          <w:lang w:val="en-US" w:eastAsia="zh-CN"/>
        </w:rPr>
        <w:t>进行申报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t>1.点击左侧“报表申报”按钮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t>2.系统会显示出已填写完成，但尚未申报的报表，点击“申报”按钮。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681855" cy="1618615"/>
            <wp:effectExtent l="0" t="0" r="4445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t>3.系统弹出如下确认信息对话框，点击“确定”</w:t>
      </w:r>
    </w:p>
    <w:p>
      <w:pPr>
        <w:ind w:firstLine="371" w:firstLineChars="177"/>
        <w:jc w:val="center"/>
        <w:rPr>
          <w:rFonts w:hint="eastAsia"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4404995" cy="1535430"/>
            <wp:effectExtent l="0" t="0" r="14605" b="762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黑体" w:eastAsia="仿宋_GB2312" w:cs="仿宋"/>
          <w:bCs/>
          <w:sz w:val="28"/>
          <w:szCs w:val="28"/>
        </w:rPr>
      </w:pPr>
      <w:r>
        <w:rPr>
          <w:rFonts w:hint="eastAsia" w:ascii="仿宋_GB2312" w:hAnsi="黑体" w:eastAsia="仿宋_GB2312" w:cs="仿宋"/>
          <w:bCs/>
          <w:sz w:val="28"/>
          <w:szCs w:val="28"/>
        </w:rPr>
        <w:t>4.点击“刷新”按钮，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当</w:t>
      </w:r>
      <w:r>
        <w:rPr>
          <w:rFonts w:hint="eastAsia" w:ascii="仿宋_GB2312" w:hAnsi="黑体" w:eastAsia="仿宋_GB2312" w:cs="仿宋"/>
          <w:bCs/>
          <w:sz w:val="28"/>
          <w:szCs w:val="28"/>
        </w:rPr>
        <w:t>“申报状态”显示为“申报成功”，则表明您填写的申报表已传入税务局核心征管系统。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完成了</w:t>
      </w:r>
      <w:r>
        <w:rPr>
          <w:rFonts w:hint="eastAsia" w:ascii="仿宋_GB2312" w:hAnsi="黑体" w:eastAsia="仿宋_GB2312" w:cs="仿宋"/>
          <w:bCs/>
          <w:sz w:val="28"/>
          <w:szCs w:val="28"/>
        </w:rPr>
        <w:t>本期增值税</w:t>
      </w: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申报</w:t>
      </w:r>
      <w:r>
        <w:rPr>
          <w:rFonts w:hint="eastAsia" w:ascii="仿宋_GB2312" w:hAnsi="黑体" w:eastAsia="仿宋_GB2312" w:cs="仿宋"/>
          <w:bCs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5005070" cy="2186305"/>
            <wp:effectExtent l="0" t="0" r="5080" b="44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 w:ascii="仿宋" w:hAnsi="仿宋" w:eastAsia="仿宋" w:cs="仿宋"/>
          <w:szCs w:val="40"/>
          <w:lang w:val="en-US" w:eastAsia="zh-CN"/>
        </w:rPr>
      </w:pPr>
      <w:r>
        <w:rPr>
          <w:rFonts w:hint="eastAsia" w:ascii="仿宋" w:hAnsi="仿宋" w:eastAsia="仿宋" w:cs="仿宋"/>
          <w:szCs w:val="40"/>
          <w:lang w:val="en-US" w:eastAsia="zh-CN"/>
        </w:rPr>
        <w:t>申报作废</w:t>
      </w:r>
    </w:p>
    <w:p>
      <w:pPr>
        <w:numPr>
          <w:ilvl w:val="0"/>
          <w:numId w:val="0"/>
        </w:numPr>
        <w:ind w:leftChars="46" w:firstLine="580"/>
        <w:jc w:val="left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报表申报错误的，可通过“申报作废”功能作废申报表后重新申报。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23155" cy="2111375"/>
            <wp:effectExtent l="0" t="0" r="10795" b="317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 w:ascii="仿宋" w:hAnsi="仿宋" w:eastAsia="仿宋" w:cs="仿宋"/>
          <w:szCs w:val="40"/>
          <w:lang w:val="en-US" w:eastAsia="zh-CN"/>
        </w:rPr>
      </w:pPr>
      <w:r>
        <w:rPr>
          <w:rFonts w:hint="eastAsia" w:ascii="仿宋" w:hAnsi="仿宋" w:eastAsia="仿宋" w:cs="仿宋"/>
          <w:szCs w:val="40"/>
          <w:lang w:val="en-US" w:eastAsia="zh-CN"/>
        </w:rPr>
        <w:t>税费缴纳</w:t>
      </w:r>
    </w:p>
    <w:p>
      <w:pPr>
        <w:numPr>
          <w:ilvl w:val="0"/>
          <w:numId w:val="0"/>
        </w:numPr>
        <w:ind w:leftChars="46" w:firstLine="580"/>
        <w:jc w:val="left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1.对于产生应纳税额的，点击左侧的“税费缴纳”按钮进行缴款。</w:t>
      </w:r>
    </w:p>
    <w:p>
      <w:pPr>
        <w:numPr>
          <w:ilvl w:val="0"/>
          <w:numId w:val="0"/>
        </w:numPr>
        <w:ind w:leftChars="46" w:firstLine="580"/>
        <w:jc w:val="left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  <w:t>2.缴款方式可选择三方协议缴税或二维码缴税。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463415" cy="2272665"/>
            <wp:effectExtent l="0" t="0" r="13335" b="1333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accent1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46" w:firstLine="580"/>
        <w:jc w:val="center"/>
        <w:rPr>
          <w:rFonts w:hint="eastAsia" w:ascii="仿宋_GB2312" w:hAnsi="黑体" w:eastAsia="仿宋_GB2312" w:cs="仿宋"/>
          <w:bCs/>
          <w:sz w:val="28"/>
          <w:szCs w:val="28"/>
          <w:lang w:val="en-US"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方正黑体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CA908"/>
    <w:multiLevelType w:val="singleLevel"/>
    <w:tmpl w:val="5DCCA908"/>
    <w:lvl w:ilvl="0" w:tentative="0">
      <w:start w:val="1"/>
      <w:numFmt w:val="chineseCounting"/>
      <w:suff w:val="nothing"/>
      <w:lvlText w:val="（%1）"/>
      <w:lvlJc w:val="left"/>
    </w:lvl>
  </w:abstractNum>
  <w:abstractNum w:abstractNumId="1">
    <w:nsid w:val="60FA7067"/>
    <w:multiLevelType w:val="singleLevel"/>
    <w:tmpl w:val="60FA7067"/>
    <w:lvl w:ilvl="0" w:tentative="0">
      <w:start w:val="3"/>
      <w:numFmt w:val="decimal"/>
      <w:suff w:val="nothing"/>
      <w:lvlText w:val="%1."/>
      <w:lvlJc w:val="left"/>
    </w:lvl>
  </w:abstractNum>
  <w:abstractNum w:abstractNumId="2">
    <w:nsid w:val="60FA73EB"/>
    <w:multiLevelType w:val="singleLevel"/>
    <w:tmpl w:val="60FA73EB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3075FF3"/>
    <w:rsid w:val="18E366A6"/>
    <w:rsid w:val="22E74B13"/>
    <w:rsid w:val="4AB277A2"/>
    <w:rsid w:val="52501762"/>
    <w:rsid w:val="586B6E57"/>
    <w:rsid w:val="64AE5763"/>
    <w:rsid w:val="660251E7"/>
    <w:rsid w:val="791D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2021-07-23T07:22:00Z</dcterms:created>
  <dc:creator>Administrator</dc:creator>
  <cp:lastModifiedBy>xg</cp:lastModifiedBy>
  <dcterms:modified xsi:type="dcterms:W3CDTF">2021-07-27T09:33:20Z</dcterms:modified>
  <dc:title>增值税小规模纳税人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