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QWMY6GQ79TA0THGRZRNYLJB7ZD0OAVR9S06WJDBXFMRTDLTN0BJDCJTFYYHPBRRBOMXEOLJZIWD8PXJRJFTKFFV8RZMWMLB8OOD0HB3FB32B592A334084CAAD1439FCF80BE32" Type="http://schemas.microsoft.com/office/2006/relationships/officeDocumentMain" Target="NULL"/><Relationship Id="SVWMY6GC7R9A069GRYRNIL0Y7NL0OXPREU06TJECXGH8TGLT60BRPCJ7FY5TPFRRXXM6SOZLZH578LJJQNFA0FFU89D0WMWB8OODQHB3F768C792F600740A0660A519D23A4DF3"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C4B" w:rsidRDefault="00E87C4B" w:rsidP="00E87C4B">
      <w:pPr>
        <w:ind w:firstLine="629"/>
        <w:rPr>
          <w:rFonts w:ascii="宋体" w:hint="eastAsia"/>
          <w:color w:val="FF0000"/>
          <w:w w:val="110"/>
          <w:sz w:val="44"/>
        </w:rPr>
      </w:pPr>
    </w:p>
    <w:p w:rsidR="00E87C4B" w:rsidRPr="006976A4" w:rsidRDefault="00E87C4B" w:rsidP="00E87C4B">
      <w:pPr>
        <w:ind w:leftChars="-87" w:left="399" w:rightChars="-109" w:right="-229" w:hangingChars="69" w:hanging="582"/>
        <w:jc w:val="center"/>
        <w:rPr>
          <w:rFonts w:ascii="宋体"/>
          <w:b/>
          <w:color w:val="FF0000"/>
          <w:spacing w:val="40"/>
          <w:sz w:val="76"/>
          <w:szCs w:val="76"/>
        </w:rPr>
      </w:pPr>
      <w:r w:rsidRPr="006976A4">
        <w:rPr>
          <w:rFonts w:ascii="宋体" w:hint="eastAsia"/>
          <w:b/>
          <w:color w:val="FF0000"/>
          <w:spacing w:val="40"/>
          <w:kern w:val="76"/>
          <w:sz w:val="76"/>
          <w:szCs w:val="76"/>
        </w:rPr>
        <w:t>山西省地方税务局文件</w:t>
      </w:r>
    </w:p>
    <w:p w:rsidR="00E87C4B" w:rsidRPr="003B1638" w:rsidRDefault="00E87C4B" w:rsidP="00E87C4B">
      <w:pPr>
        <w:ind w:firstLine="629"/>
        <w:rPr>
          <w:rFonts w:ascii="仿宋_GB2312" w:eastAsia="仿宋_GB2312" w:hint="eastAsia"/>
          <w:sz w:val="18"/>
          <w:szCs w:val="18"/>
        </w:rPr>
      </w:pPr>
    </w:p>
    <w:p w:rsidR="00E87C4B" w:rsidRPr="003B1638" w:rsidRDefault="00E87C4B" w:rsidP="00E87C4B">
      <w:pPr>
        <w:ind w:firstLine="629"/>
        <w:rPr>
          <w:rFonts w:ascii="仿宋_GB2312" w:eastAsia="仿宋_GB2312" w:hint="eastAsia"/>
          <w:sz w:val="18"/>
          <w:szCs w:val="18"/>
        </w:rPr>
      </w:pPr>
    </w:p>
    <w:p w:rsidR="00E87C4B" w:rsidRDefault="00E87C4B" w:rsidP="00E87C4B">
      <w:pPr>
        <w:jc w:val="center"/>
        <w:rPr>
          <w:rFonts w:ascii="仿宋_GB2312" w:eastAsia="仿宋_GB2312" w:hint="eastAsia"/>
          <w:color w:val="000000"/>
          <w:sz w:val="32"/>
        </w:rPr>
      </w:pPr>
      <w:bookmarkStart w:id="0" w:name="FWZH"/>
      <w:r>
        <w:rPr>
          <w:rFonts w:ascii="宋体"/>
          <w:b/>
          <w:noProof/>
          <w:color w:val="FF0000"/>
          <w:sz w:val="52"/>
        </w:rPr>
        <w:pict>
          <v:line id="_x0000_s2050" style="position:absolute;left:0;text-align:left;z-index:251660288;mso-position-vertical-relative:page" from="-3.75pt,308.7pt" to="458.25pt,308.7pt" strokecolor="red" strokeweight="2.25pt">
            <o:lock v:ext="edit" aspectratio="t"/>
            <w10:wrap anchory="page"/>
            <w10:anchorlock/>
          </v:line>
        </w:pict>
      </w:r>
      <w:bookmarkEnd w:id="0"/>
      <w:r>
        <w:rPr>
          <w:rFonts w:ascii="仿宋_GB2312" w:eastAsia="仿宋_GB2312" w:hint="eastAsia"/>
          <w:color w:val="000000"/>
          <w:sz w:val="32"/>
        </w:rPr>
        <w:t>晋地税发〔2010〕55号</w:t>
      </w:r>
    </w:p>
    <w:p w:rsidR="00E87C4B" w:rsidRPr="003B1638" w:rsidRDefault="00E87C4B" w:rsidP="00E87C4B">
      <w:pPr>
        <w:ind w:firstLine="629"/>
        <w:rPr>
          <w:rFonts w:ascii="仿宋_GB2312" w:eastAsia="仿宋_GB2312" w:hint="eastAsia"/>
          <w:sz w:val="18"/>
          <w:szCs w:val="18"/>
        </w:rPr>
      </w:pPr>
    </w:p>
    <w:p w:rsidR="00E87C4B" w:rsidRDefault="00E87C4B" w:rsidP="00E87C4B">
      <w:pPr>
        <w:ind w:firstLine="629"/>
        <w:jc w:val="center"/>
        <w:rPr>
          <w:rFonts w:ascii="仿宋_GB2312" w:eastAsia="仿宋_GB2312" w:hint="eastAsia"/>
          <w:color w:val="000000"/>
          <w:sz w:val="32"/>
        </w:rPr>
      </w:pPr>
    </w:p>
    <w:p w:rsidR="00E87C4B" w:rsidRDefault="00E87C4B" w:rsidP="00E87C4B">
      <w:pPr>
        <w:ind w:right="85"/>
        <w:jc w:val="center"/>
        <w:rPr>
          <w:rFonts w:ascii="宋体" w:hint="eastAsia"/>
          <w:b/>
          <w:sz w:val="40"/>
        </w:rPr>
      </w:pPr>
      <w:bookmarkStart w:id="1" w:name="ZSDW"/>
      <w:bookmarkEnd w:id="1"/>
      <w:r>
        <w:rPr>
          <w:rFonts w:ascii="宋体" w:hint="eastAsia"/>
          <w:b/>
          <w:sz w:val="40"/>
        </w:rPr>
        <w:t>山西省地方税务局转发国家税务总局</w:t>
      </w:r>
    </w:p>
    <w:p w:rsidR="00E87C4B" w:rsidRDefault="00E87C4B" w:rsidP="00E87C4B">
      <w:pPr>
        <w:ind w:right="85"/>
        <w:jc w:val="center"/>
        <w:rPr>
          <w:rFonts w:ascii="宋体"/>
          <w:b/>
          <w:sz w:val="40"/>
        </w:rPr>
      </w:pPr>
      <w:r>
        <w:rPr>
          <w:rFonts w:ascii="宋体" w:hint="eastAsia"/>
          <w:b/>
          <w:sz w:val="40"/>
        </w:rPr>
        <w:t>《关于加强土地增值税征管工作的通知》的通知</w:t>
      </w:r>
    </w:p>
    <w:p w:rsidR="00E87C4B" w:rsidRDefault="00E87C4B" w:rsidP="00E87C4B">
      <w:pPr>
        <w:ind w:firstLine="600"/>
        <w:jc w:val="left"/>
        <w:rPr>
          <w:rFonts w:ascii="仿宋_GB2312" w:eastAsia="仿宋_GB2312"/>
          <w:sz w:val="28"/>
        </w:rPr>
      </w:pPr>
    </w:p>
    <w:p w:rsidR="00E87C4B" w:rsidRPr="00D95125" w:rsidRDefault="00E87C4B" w:rsidP="00E87C4B">
      <w:pPr>
        <w:rPr>
          <w:rFonts w:ascii="仿宋_GB2312" w:eastAsia="仿宋_GB2312" w:hint="eastAsia"/>
          <w:sz w:val="32"/>
          <w:szCs w:val="32"/>
        </w:rPr>
      </w:pPr>
      <w:r w:rsidRPr="00D95125">
        <w:rPr>
          <w:rFonts w:ascii="仿宋_GB2312" w:eastAsia="仿宋_GB2312" w:hint="eastAsia"/>
          <w:sz w:val="32"/>
          <w:szCs w:val="32"/>
        </w:rPr>
        <w:t>各市地方税务局、高新区局、经济区局：</w:t>
      </w:r>
    </w:p>
    <w:p w:rsidR="00E87C4B" w:rsidRPr="00D95125" w:rsidRDefault="00E87C4B" w:rsidP="00E87C4B">
      <w:pPr>
        <w:widowControl w:val="0"/>
        <w:ind w:firstLine="600"/>
        <w:rPr>
          <w:rFonts w:ascii="仿宋_GB2312" w:eastAsia="仿宋_GB2312" w:hint="eastAsia"/>
          <w:kern w:val="2"/>
          <w:sz w:val="32"/>
          <w:szCs w:val="32"/>
        </w:rPr>
      </w:pPr>
      <w:r w:rsidRPr="00D95125">
        <w:rPr>
          <w:rFonts w:ascii="仿宋_GB2312" w:eastAsia="仿宋_GB2312" w:hint="eastAsia"/>
          <w:sz w:val="32"/>
          <w:szCs w:val="32"/>
        </w:rPr>
        <w:t>现将国家税务总局关于加强土地增值税征管工作的通知（国税发【2010】53号）转发给你们，同时结合我省2005年制定的《山西省土地增值税预征管理办法》和2009年转发国家税务总局“关于印发《土地增值税清算管理规程》通知”的有关要求，提出以下实施意见，请一并认真贯彻执行。</w:t>
      </w:r>
    </w:p>
    <w:p w:rsidR="00E87C4B" w:rsidRPr="00D95125" w:rsidRDefault="00E87C4B" w:rsidP="00E87C4B">
      <w:pPr>
        <w:widowControl w:val="0"/>
        <w:ind w:firstLineChars="200" w:firstLine="640"/>
        <w:rPr>
          <w:rFonts w:ascii="黑体" w:eastAsia="黑体" w:hint="eastAsia"/>
          <w:kern w:val="2"/>
          <w:sz w:val="32"/>
          <w:szCs w:val="32"/>
        </w:rPr>
      </w:pPr>
      <w:r>
        <w:rPr>
          <w:rFonts w:ascii="黑体" w:eastAsia="黑体" w:hint="eastAsia"/>
          <w:sz w:val="32"/>
          <w:szCs w:val="32"/>
        </w:rPr>
        <w:t>一、</w:t>
      </w:r>
      <w:r w:rsidRPr="00D95125">
        <w:rPr>
          <w:rFonts w:ascii="黑体" w:eastAsia="黑体" w:hint="eastAsia"/>
          <w:sz w:val="32"/>
          <w:szCs w:val="32"/>
        </w:rPr>
        <w:t>提高认识，加强领导</w:t>
      </w:r>
    </w:p>
    <w:p w:rsidR="00E87C4B" w:rsidRPr="00D95125" w:rsidRDefault="00E87C4B" w:rsidP="00E87C4B">
      <w:pPr>
        <w:widowControl w:val="0"/>
        <w:ind w:firstLineChars="200" w:firstLine="640"/>
        <w:rPr>
          <w:rFonts w:ascii="仿宋_GB2312" w:eastAsia="仿宋_GB2312" w:hint="eastAsia"/>
          <w:kern w:val="2"/>
          <w:sz w:val="32"/>
          <w:szCs w:val="32"/>
        </w:rPr>
      </w:pPr>
      <w:r w:rsidRPr="00D95125">
        <w:rPr>
          <w:rFonts w:ascii="仿宋_GB2312" w:eastAsia="仿宋_GB2312" w:hint="eastAsia"/>
          <w:sz w:val="32"/>
          <w:szCs w:val="32"/>
        </w:rPr>
        <w:t>土地增值税是国家运用税收杠杆引导房地产经营方向，规范房地产市场的交易秩序，合理调节土地增值收益分配，维护国家权益，促进房地产开发健康发展而开征的一个税种，加强土地增值税征管既是认真贯彻《国务院关于坚决遏制部分城市房价过快</w:t>
      </w:r>
      <w:r w:rsidRPr="00D95125">
        <w:rPr>
          <w:rFonts w:ascii="仿宋_GB2312" w:eastAsia="仿宋_GB2312" w:hint="eastAsia"/>
          <w:sz w:val="32"/>
          <w:szCs w:val="32"/>
        </w:rPr>
        <w:lastRenderedPageBreak/>
        <w:t>上涨的通知》（国发【2010】10号）精神的迫切要求，也是我省</w:t>
      </w:r>
      <w:r>
        <w:rPr>
          <w:rFonts w:ascii="仿宋_GB2312" w:eastAsia="仿宋_GB2312" w:hint="eastAsia"/>
          <w:sz w:val="32"/>
          <w:szCs w:val="32"/>
        </w:rPr>
        <w:t>税务</w:t>
      </w:r>
      <w:r w:rsidRPr="00D95125">
        <w:rPr>
          <w:rFonts w:ascii="仿宋_GB2312" w:eastAsia="仿宋_GB2312" w:hint="eastAsia"/>
          <w:sz w:val="32"/>
          <w:szCs w:val="32"/>
        </w:rPr>
        <w:t>部门践行省委省政府提出的促进“三个发展”的重要举措，更是落实省局提出的 “保收入、强管理、重服务、优作风、促发展”工作目标的具体体现，其意义重大，目的明确。为此各级税务机关要统一思想认识，加强组织领导，扎实开展工作。</w:t>
      </w:r>
    </w:p>
    <w:p w:rsidR="00E87C4B" w:rsidRPr="00D95125" w:rsidRDefault="00E87C4B" w:rsidP="00E87C4B">
      <w:pPr>
        <w:widowControl w:val="0"/>
        <w:ind w:firstLineChars="200" w:firstLine="640"/>
        <w:rPr>
          <w:rFonts w:ascii="仿宋_GB2312" w:eastAsia="仿宋_GB2312" w:hint="eastAsia"/>
          <w:kern w:val="2"/>
          <w:sz w:val="32"/>
          <w:szCs w:val="32"/>
        </w:rPr>
      </w:pPr>
      <w:r w:rsidRPr="00D95125">
        <w:rPr>
          <w:rFonts w:ascii="仿宋_GB2312" w:eastAsia="仿宋_GB2312" w:hint="eastAsia"/>
          <w:sz w:val="32"/>
          <w:szCs w:val="32"/>
        </w:rPr>
        <w:t>（一）努力营造良好的社会环境。一是要积极向当地党委和政府汇报，取得领导的支持；二是要加强政策宣传和纳税辅导，取得纳税人的理解与配合；三是加强与发改委、国土资源、城建、房管、规划、设计等职能部门的沟通与协作，形成齐抓共管的征收局面。</w:t>
      </w:r>
    </w:p>
    <w:p w:rsidR="00E87C4B" w:rsidRPr="00D95125" w:rsidRDefault="00E87C4B" w:rsidP="00E87C4B">
      <w:pPr>
        <w:widowControl w:val="0"/>
        <w:ind w:firstLineChars="200" w:firstLine="640"/>
        <w:rPr>
          <w:rFonts w:ascii="仿宋_GB2312" w:eastAsia="仿宋_GB2312" w:hint="eastAsia"/>
          <w:kern w:val="2"/>
          <w:sz w:val="32"/>
          <w:szCs w:val="32"/>
        </w:rPr>
      </w:pPr>
      <w:r w:rsidRPr="00D95125">
        <w:rPr>
          <w:rFonts w:ascii="仿宋_GB2312" w:eastAsia="仿宋_GB2312" w:hint="eastAsia"/>
          <w:sz w:val="32"/>
          <w:szCs w:val="32"/>
        </w:rPr>
        <w:t>（二）加强领导，同力协作。加强土地增值税征管工作是认真贯彻国务院通知精神，发挥税收调节收益分配，强化税源管理，保障税收收入的一项十分重要工作。因此各级税务机关主要领导要加强领导和指导、督促协调，分管领导要具体组织、周密部署、抓好落实。税政、征管、稽查等相关业务部门要明确职责，密切配合，认真抓好土地增值税的征管工作。各地要抽调业务骨干组成工作实施小组，制定详细的工作目标和进度要求，强化征管手段，对本区域内的房地产企业进行一次彻底的清理整顿，摸清税源分布状况。各县（区）局要有针对性选择3-5户定价高、涨幅过快的房地产开发项目，作为重点清算审核对象，以点带面。清算审核中遇到的疑难问题，应组织专家进行审核评议，提出处理意见。</w:t>
      </w:r>
    </w:p>
    <w:p w:rsidR="00E87C4B" w:rsidRPr="00D95125" w:rsidRDefault="00E87C4B" w:rsidP="00E87C4B">
      <w:pPr>
        <w:widowControl w:val="0"/>
        <w:ind w:left="600"/>
        <w:rPr>
          <w:rFonts w:ascii="黑体" w:eastAsia="黑体" w:hint="eastAsia"/>
          <w:sz w:val="32"/>
          <w:szCs w:val="32"/>
        </w:rPr>
      </w:pPr>
      <w:r w:rsidRPr="00D95125">
        <w:rPr>
          <w:rFonts w:ascii="黑体" w:eastAsia="黑体" w:hint="eastAsia"/>
          <w:sz w:val="32"/>
          <w:szCs w:val="32"/>
        </w:rPr>
        <w:lastRenderedPageBreak/>
        <w:t>二、加强土地增值税的日常征管工作</w:t>
      </w:r>
    </w:p>
    <w:p w:rsidR="00E87C4B" w:rsidRPr="00D95125" w:rsidRDefault="00E87C4B" w:rsidP="00E87C4B">
      <w:pPr>
        <w:widowControl w:val="0"/>
        <w:ind w:firstLineChars="200" w:firstLine="640"/>
        <w:rPr>
          <w:rFonts w:ascii="仿宋_GB2312" w:eastAsia="仿宋_GB2312" w:hint="eastAsia"/>
          <w:kern w:val="2"/>
          <w:sz w:val="32"/>
          <w:szCs w:val="32"/>
        </w:rPr>
      </w:pPr>
      <w:r>
        <w:rPr>
          <w:rFonts w:ascii="仿宋_GB2312" w:eastAsia="仿宋_GB2312" w:hint="eastAsia"/>
          <w:sz w:val="32"/>
          <w:szCs w:val="32"/>
        </w:rPr>
        <w:t>（一）</w:t>
      </w:r>
      <w:r w:rsidRPr="00D95125">
        <w:rPr>
          <w:rFonts w:ascii="仿宋_GB2312" w:eastAsia="仿宋_GB2312" w:hint="eastAsia"/>
          <w:sz w:val="32"/>
          <w:szCs w:val="32"/>
        </w:rPr>
        <w:t>建立健全房地产开发项目登记管理。从事房地产开发的纳税人必须在取得开发项目许可后三十日内，到主管税务机关办理项目登记手续；主管税务机关对纳税人登记的项目应从项目立项、规划设计、施工、预售、竣工验收、工程结算、项目清盘、税款预征、税款清算等项目开发和销售全过程进行跟踪管理，建立健全开发项目的电子档案资料。</w:t>
      </w:r>
    </w:p>
    <w:p w:rsidR="00E87C4B" w:rsidRPr="00D95125" w:rsidRDefault="00E87C4B" w:rsidP="00E87C4B">
      <w:pPr>
        <w:widowControl w:val="0"/>
        <w:ind w:firstLineChars="200" w:firstLine="640"/>
        <w:rPr>
          <w:rFonts w:ascii="仿宋_GB2312" w:eastAsia="仿宋_GB2312" w:hint="eastAsia"/>
          <w:kern w:val="2"/>
          <w:sz w:val="32"/>
          <w:szCs w:val="32"/>
        </w:rPr>
      </w:pPr>
      <w:r>
        <w:rPr>
          <w:rFonts w:ascii="仿宋_GB2312" w:eastAsia="仿宋_GB2312" w:hint="eastAsia"/>
          <w:sz w:val="32"/>
          <w:szCs w:val="32"/>
        </w:rPr>
        <w:t>（二）</w:t>
      </w:r>
      <w:r w:rsidRPr="00D95125">
        <w:rPr>
          <w:rFonts w:ascii="仿宋_GB2312" w:eastAsia="仿宋_GB2312" w:hint="eastAsia"/>
          <w:sz w:val="32"/>
          <w:szCs w:val="32"/>
        </w:rPr>
        <w:t>强化日常纳税申报管理。</w:t>
      </w:r>
      <w:r w:rsidRPr="006D6722">
        <w:rPr>
          <w:rFonts w:ascii="仿宋_GB2312" w:eastAsia="仿宋_GB2312" w:hint="eastAsia"/>
          <w:sz w:val="32"/>
          <w:szCs w:val="32"/>
        </w:rPr>
        <w:t>从事房地产开发的纳税人应于每月月份终了后十五日内主动向主管税务机关申报当月的预收房地产收入，并按当地确定的预征率计算申报预缴税款。</w:t>
      </w:r>
      <w:r w:rsidRPr="00D95125">
        <w:rPr>
          <w:rFonts w:ascii="仿宋_GB2312" w:eastAsia="仿宋_GB2312" w:hint="eastAsia"/>
          <w:sz w:val="32"/>
          <w:szCs w:val="32"/>
        </w:rPr>
        <w:t>各市</w:t>
      </w:r>
      <w:r>
        <w:rPr>
          <w:rFonts w:ascii="仿宋_GB2312" w:eastAsia="仿宋_GB2312" w:hint="eastAsia"/>
          <w:sz w:val="32"/>
          <w:szCs w:val="32"/>
        </w:rPr>
        <w:t>税务</w:t>
      </w:r>
      <w:r w:rsidRPr="00D95125">
        <w:rPr>
          <w:rFonts w:ascii="仿宋_GB2312" w:eastAsia="仿宋_GB2312" w:hint="eastAsia"/>
          <w:sz w:val="32"/>
          <w:szCs w:val="32"/>
        </w:rPr>
        <w:t>局要严格按照国家规定的预征率最低限度及时调整本地区的预征率，确保预征工作的顺利开展。</w:t>
      </w:r>
    </w:p>
    <w:p w:rsidR="00E87C4B" w:rsidRPr="00D95125" w:rsidRDefault="00E87C4B" w:rsidP="00E87C4B">
      <w:pPr>
        <w:widowControl w:val="0"/>
        <w:ind w:firstLineChars="200" w:firstLine="640"/>
        <w:rPr>
          <w:rFonts w:ascii="仿宋_GB2312" w:eastAsia="仿宋_GB2312" w:hint="eastAsia"/>
          <w:kern w:val="2"/>
          <w:sz w:val="32"/>
          <w:szCs w:val="32"/>
        </w:rPr>
      </w:pPr>
      <w:r>
        <w:rPr>
          <w:rFonts w:ascii="仿宋_GB2312" w:eastAsia="仿宋_GB2312" w:hint="eastAsia"/>
          <w:sz w:val="32"/>
          <w:szCs w:val="32"/>
        </w:rPr>
        <w:t>（三）</w:t>
      </w:r>
      <w:r w:rsidRPr="00D95125">
        <w:rPr>
          <w:rFonts w:ascii="仿宋_GB2312" w:eastAsia="仿宋_GB2312" w:hint="eastAsia"/>
          <w:sz w:val="32"/>
          <w:szCs w:val="32"/>
        </w:rPr>
        <w:t>做好开发项目的日常检查工作。各级税务机关要加强对开发项目的日常检查，发现有未按规定期限进行纳税申报的纳税人应严格按《征管法》的有关规定进行处罚；加强预征税款与销售不动产营业税的比对工作，发现有少缴未交税款的应及时补征入库，并按规定加收滞纳金；在检查中发现有重大嫌疑和偷税现象的应在检查结束后及时移送稽查部门，进行重点稽查。</w:t>
      </w:r>
    </w:p>
    <w:p w:rsidR="00E87C4B" w:rsidRPr="00D95125" w:rsidRDefault="00E87C4B" w:rsidP="00E87C4B">
      <w:pPr>
        <w:widowControl w:val="0"/>
        <w:ind w:left="600"/>
        <w:rPr>
          <w:rFonts w:ascii="黑体" w:eastAsia="黑体" w:hint="eastAsia"/>
          <w:sz w:val="32"/>
          <w:szCs w:val="32"/>
        </w:rPr>
      </w:pPr>
      <w:r>
        <w:rPr>
          <w:rFonts w:ascii="黑体" w:eastAsia="黑体" w:hint="eastAsia"/>
          <w:sz w:val="32"/>
          <w:szCs w:val="32"/>
        </w:rPr>
        <w:t>三、</w:t>
      </w:r>
      <w:r w:rsidRPr="00D95125">
        <w:rPr>
          <w:rFonts w:ascii="黑体" w:eastAsia="黑体" w:hint="eastAsia"/>
          <w:sz w:val="32"/>
          <w:szCs w:val="32"/>
        </w:rPr>
        <w:t>加强土地增值税的清算审核</w:t>
      </w:r>
    </w:p>
    <w:p w:rsidR="00E87C4B" w:rsidRPr="00D95125" w:rsidRDefault="00E87C4B" w:rsidP="00E87C4B">
      <w:pPr>
        <w:widowControl w:val="0"/>
        <w:ind w:firstLineChars="200" w:firstLine="640"/>
        <w:rPr>
          <w:rFonts w:ascii="仿宋_GB2312" w:eastAsia="仿宋_GB2312" w:hint="eastAsia"/>
          <w:kern w:val="2"/>
          <w:sz w:val="32"/>
          <w:szCs w:val="32"/>
        </w:rPr>
      </w:pPr>
      <w:r>
        <w:rPr>
          <w:rFonts w:ascii="仿宋_GB2312" w:eastAsia="仿宋_GB2312" w:hint="eastAsia"/>
          <w:sz w:val="32"/>
          <w:szCs w:val="32"/>
        </w:rPr>
        <w:t>（一）</w:t>
      </w:r>
      <w:r w:rsidRPr="00D95125">
        <w:rPr>
          <w:rFonts w:ascii="仿宋_GB2312" w:eastAsia="仿宋_GB2312" w:hint="eastAsia"/>
          <w:sz w:val="32"/>
          <w:szCs w:val="32"/>
        </w:rPr>
        <w:t>清算时间要求。本通知下发前已符合清算条件正在进行清算的项目或税务机关已下发清算通知要求进行清算的项目，纳税人须在2010年8月底前完成清算工作（可自行清算也可委托</w:t>
      </w:r>
      <w:r w:rsidRPr="00D95125">
        <w:rPr>
          <w:rFonts w:ascii="仿宋_GB2312" w:eastAsia="仿宋_GB2312" w:hint="eastAsia"/>
          <w:sz w:val="32"/>
          <w:szCs w:val="32"/>
        </w:rPr>
        <w:lastRenderedPageBreak/>
        <w:t>有资质的中介机构进行清算鉴证）。从</w:t>
      </w:r>
      <w:smartTag w:uri="urn:schemas-microsoft-com:office:smarttags" w:element="chsdate">
        <w:smartTagPr>
          <w:attr w:name="Year" w:val="2010"/>
          <w:attr w:name="Month" w:val="9"/>
          <w:attr w:name="Day" w:val="1"/>
          <w:attr w:name="IsLunarDate" w:val="False"/>
          <w:attr w:name="IsROCDate" w:val="False"/>
        </w:smartTagPr>
        <w:r w:rsidRPr="00D95125">
          <w:rPr>
            <w:rFonts w:ascii="仿宋_GB2312" w:eastAsia="仿宋_GB2312" w:hint="eastAsia"/>
            <w:sz w:val="32"/>
            <w:szCs w:val="32"/>
          </w:rPr>
          <w:t>2010年9月1日</w:t>
        </w:r>
      </w:smartTag>
      <w:r w:rsidRPr="00D95125">
        <w:rPr>
          <w:rFonts w:ascii="仿宋_GB2312" w:eastAsia="仿宋_GB2312" w:hint="eastAsia"/>
          <w:sz w:val="32"/>
          <w:szCs w:val="32"/>
        </w:rPr>
        <w:t>起逾期仍未完成清算的项目，应依法进行处罚；新的清算项目必须按现行政策规定进行清算。</w:t>
      </w:r>
    </w:p>
    <w:p w:rsidR="00E87C4B" w:rsidRPr="00D95125" w:rsidRDefault="00E87C4B" w:rsidP="00E87C4B">
      <w:pPr>
        <w:widowControl w:val="0"/>
        <w:ind w:firstLineChars="200" w:firstLine="640"/>
        <w:rPr>
          <w:rFonts w:ascii="仿宋_GB2312" w:eastAsia="仿宋_GB2312" w:hint="eastAsia"/>
          <w:kern w:val="2"/>
          <w:sz w:val="32"/>
          <w:szCs w:val="32"/>
        </w:rPr>
      </w:pPr>
      <w:r>
        <w:rPr>
          <w:rFonts w:ascii="仿宋_GB2312" w:eastAsia="仿宋_GB2312" w:hint="eastAsia"/>
          <w:sz w:val="32"/>
          <w:szCs w:val="32"/>
        </w:rPr>
        <w:t>（二）</w:t>
      </w:r>
      <w:r w:rsidRPr="00D95125">
        <w:rPr>
          <w:rFonts w:ascii="仿宋_GB2312" w:eastAsia="仿宋_GB2312" w:hint="eastAsia"/>
          <w:sz w:val="32"/>
          <w:szCs w:val="32"/>
        </w:rPr>
        <w:t>清算审核要求。各级税务机关对本通知下发前已完成清算审核的项目，要组织有关人员进行复查审核，复查审核的主要内容：一是资料是否齐全；二是有无不符合核定征收条件进行核定征收的；三是中介机构参与鉴证时是否以法律、规章为依据，遵循独立、客观、公正的原则，出具的鉴证报告是否经过充分调查、论证、审核、计算，是否有没有鉴证资格的中介机构出具的鉴证报告；四是清算审核的收入和扣除项目金额是否符合有关规定，与当地房地产的平均售价和建造成本相比差异是否较大；五是税款的清算入库是否准确及时。在复查审核中发现的问题要及时予以更正，形成最终复核意见附清算资料中。从今年9月1日起各级税务机关要对辖区内的房地产开发项目制定具体的清算审核质量和进度要求，成立专门的清算审核组，严格划定核定征收的条件和界限，对不符合核定征收条件的项目，一律不得采用核定征收的方式进行税款清算，符合核定征收条件的项目，要依照新的核定征收率进行税款清算。核定征收率原则上不得低于5%，各市税务</w:t>
      </w:r>
      <w:r>
        <w:rPr>
          <w:rFonts w:ascii="仿宋_GB2312" w:eastAsia="仿宋_GB2312" w:hint="eastAsia"/>
          <w:sz w:val="32"/>
          <w:szCs w:val="32"/>
        </w:rPr>
        <w:t>局</w:t>
      </w:r>
      <w:r w:rsidRPr="00D95125">
        <w:rPr>
          <w:rFonts w:ascii="仿宋_GB2312" w:eastAsia="仿宋_GB2312" w:hint="eastAsia"/>
          <w:sz w:val="32"/>
          <w:szCs w:val="32"/>
        </w:rPr>
        <w:t>要结合本地实际，区分不同房地产类型制定核定征收率，并上报省局备案。</w:t>
      </w:r>
    </w:p>
    <w:p w:rsidR="00E87C4B" w:rsidRPr="00D95125" w:rsidRDefault="00E87C4B" w:rsidP="00E87C4B">
      <w:pPr>
        <w:widowControl w:val="0"/>
        <w:ind w:firstLineChars="200" w:firstLine="640"/>
        <w:rPr>
          <w:rFonts w:ascii="仿宋_GB2312" w:eastAsia="仿宋_GB2312" w:hint="eastAsia"/>
          <w:kern w:val="2"/>
          <w:sz w:val="32"/>
          <w:szCs w:val="32"/>
        </w:rPr>
      </w:pPr>
      <w:r>
        <w:rPr>
          <w:rFonts w:ascii="仿宋_GB2312" w:eastAsia="仿宋_GB2312" w:hint="eastAsia"/>
          <w:sz w:val="32"/>
          <w:szCs w:val="32"/>
        </w:rPr>
        <w:t>（三）</w:t>
      </w:r>
      <w:r w:rsidRPr="00D95125">
        <w:rPr>
          <w:rFonts w:ascii="仿宋_GB2312" w:eastAsia="仿宋_GB2312" w:hint="eastAsia"/>
          <w:sz w:val="32"/>
          <w:szCs w:val="32"/>
        </w:rPr>
        <w:t>建立清算审核问责机制。各级税务机关在清算审核中应严格按照有关规定进行执法，对应下发清算通知的不得无故拖</w:t>
      </w:r>
      <w:r w:rsidRPr="00D95125">
        <w:rPr>
          <w:rFonts w:ascii="仿宋_GB2312" w:eastAsia="仿宋_GB2312" w:hint="eastAsia"/>
          <w:sz w:val="32"/>
          <w:szCs w:val="32"/>
        </w:rPr>
        <w:lastRenderedPageBreak/>
        <w:t>延，对未按规定期限办理清算的不得放任不予处罚，对没有鉴证资格的中介机构出具的鉴证报告不得受理，对中介机构出具的鉴证报告不得不加分析和审核直接采纳，不得无故拖延清算审核的时间期限。要认真落实总局、省局有关土地增值税征收管理的各项规定，结合“两权”监督检查，对执法过错行为，实行问责追究。</w:t>
      </w:r>
    </w:p>
    <w:p w:rsidR="00E87C4B" w:rsidRPr="00D95125" w:rsidRDefault="00E87C4B" w:rsidP="00E87C4B">
      <w:pPr>
        <w:widowControl w:val="0"/>
        <w:ind w:firstLineChars="200" w:firstLine="640"/>
        <w:rPr>
          <w:rFonts w:ascii="仿宋_GB2312" w:eastAsia="仿宋_GB2312" w:hint="eastAsia"/>
          <w:kern w:val="2"/>
          <w:sz w:val="32"/>
          <w:szCs w:val="32"/>
        </w:rPr>
      </w:pPr>
      <w:r w:rsidRPr="00D95125">
        <w:rPr>
          <w:rFonts w:ascii="仿宋_GB2312" w:eastAsia="仿宋_GB2312" w:hint="eastAsia"/>
          <w:sz w:val="32"/>
          <w:szCs w:val="32"/>
        </w:rPr>
        <w:t>各市税务局接到本通知后要制定具体的贯彻落实办法，并于</w:t>
      </w:r>
      <w:smartTag w:uri="urn:schemas-microsoft-com:office:smarttags" w:element="chsdate">
        <w:smartTagPr>
          <w:attr w:name="Year" w:val="2010"/>
          <w:attr w:name="Month" w:val="6"/>
          <w:attr w:name="Day" w:val="22"/>
          <w:attr w:name="IsLunarDate" w:val="False"/>
          <w:attr w:name="IsROCDate" w:val="False"/>
        </w:smartTagPr>
        <w:r w:rsidRPr="00D95125">
          <w:rPr>
            <w:rFonts w:ascii="仿宋_GB2312" w:eastAsia="仿宋_GB2312" w:hint="eastAsia"/>
            <w:sz w:val="32"/>
            <w:szCs w:val="32"/>
          </w:rPr>
          <w:t>6月22日前</w:t>
        </w:r>
      </w:smartTag>
      <w:r w:rsidRPr="00D95125">
        <w:rPr>
          <w:rFonts w:ascii="仿宋_GB2312" w:eastAsia="仿宋_GB2312" w:hint="eastAsia"/>
          <w:sz w:val="32"/>
          <w:szCs w:val="32"/>
        </w:rPr>
        <w:t xml:space="preserve">将“土地增值税清算计划统计表”上报省局，于9月底前将贯彻落实情况及清算审核情况以书面形式报省局；各征收单位要将清算审核进度和考核问责机制目标化，省局将在四季度对各地的贯彻落实情况进行抽查，年底前将组织联合督导检查组进行督导检查。 </w:t>
      </w:r>
    </w:p>
    <w:p w:rsidR="00E87C4B" w:rsidRPr="00D95125" w:rsidRDefault="00E87C4B" w:rsidP="00E87C4B">
      <w:pPr>
        <w:widowControl w:val="0"/>
        <w:rPr>
          <w:rFonts w:ascii="仿宋_GB2312" w:eastAsia="仿宋_GB2312" w:hint="eastAsia"/>
          <w:kern w:val="2"/>
          <w:sz w:val="32"/>
          <w:szCs w:val="32"/>
        </w:rPr>
      </w:pPr>
    </w:p>
    <w:p w:rsidR="00E87C4B" w:rsidRPr="00D95125" w:rsidRDefault="00E87C4B" w:rsidP="00E87C4B">
      <w:pPr>
        <w:ind w:right="-60"/>
        <w:rPr>
          <w:rFonts w:ascii="仿宋_GB2312" w:eastAsia="仿宋_GB2312" w:hint="eastAsia"/>
          <w:sz w:val="32"/>
          <w:szCs w:val="32"/>
        </w:rPr>
      </w:pPr>
    </w:p>
    <w:p w:rsidR="00E87C4B" w:rsidRPr="00D95125" w:rsidRDefault="00E87C4B" w:rsidP="00E87C4B">
      <w:pPr>
        <w:rPr>
          <w:rFonts w:ascii="仿宋_GB2312" w:eastAsia="仿宋_GB2312" w:hint="eastAsia"/>
          <w:sz w:val="32"/>
          <w:szCs w:val="32"/>
        </w:rPr>
      </w:pPr>
      <w:r>
        <w:rPr>
          <w:rFonts w:ascii="仿宋_GB2312" w:eastAsia="仿宋_GB2312" w:hint="eastAsia"/>
          <w:sz w:val="32"/>
          <w:szCs w:val="32"/>
        </w:rPr>
        <w:t xml:space="preserve">                           二</w:t>
      </w:r>
      <w:r>
        <w:rPr>
          <w:rFonts w:ascii="宋体" w:hAnsi="宋体" w:cs="宋体" w:hint="eastAsia"/>
          <w:sz w:val="32"/>
          <w:szCs w:val="32"/>
        </w:rPr>
        <w:t>〇</w:t>
      </w:r>
      <w:r>
        <w:rPr>
          <w:rFonts w:ascii="仿宋_GB2312" w:eastAsia="仿宋_GB2312" w:hAnsi="仿宋_GB2312" w:cs="仿宋_GB2312" w:hint="eastAsia"/>
          <w:sz w:val="32"/>
          <w:szCs w:val="32"/>
        </w:rPr>
        <w:t>一</w:t>
      </w:r>
      <w:r>
        <w:rPr>
          <w:rFonts w:ascii="宋体" w:hAnsi="宋体" w:cs="宋体" w:hint="eastAsia"/>
          <w:sz w:val="32"/>
          <w:szCs w:val="32"/>
        </w:rPr>
        <w:t>〇</w:t>
      </w:r>
      <w:r>
        <w:rPr>
          <w:rFonts w:ascii="仿宋_GB2312" w:eastAsia="仿宋_GB2312" w:hAnsi="仿宋_GB2312" w:cs="仿宋_GB2312" w:hint="eastAsia"/>
          <w:sz w:val="32"/>
          <w:szCs w:val="32"/>
        </w:rPr>
        <w:t>年六月十三日</w:t>
      </w:r>
    </w:p>
    <w:p w:rsidR="00E87C4B" w:rsidRPr="00D95125" w:rsidRDefault="00E87C4B" w:rsidP="00E87C4B">
      <w:pPr>
        <w:rPr>
          <w:rFonts w:ascii="仿宋_GB2312" w:eastAsia="仿宋_GB2312" w:hint="eastAsia"/>
          <w:sz w:val="32"/>
          <w:szCs w:val="32"/>
        </w:rPr>
      </w:pPr>
    </w:p>
    <w:p w:rsidR="00E87C4B" w:rsidRPr="00D95125" w:rsidRDefault="00E87C4B" w:rsidP="00E87C4B">
      <w:pPr>
        <w:rPr>
          <w:rFonts w:ascii="仿宋_GB2312" w:eastAsia="仿宋_GB2312" w:hint="eastAsia"/>
          <w:sz w:val="32"/>
          <w:szCs w:val="32"/>
        </w:rPr>
      </w:pPr>
    </w:p>
    <w:p w:rsidR="00E87C4B" w:rsidRPr="00D95125" w:rsidRDefault="00E87C4B" w:rsidP="00E87C4B">
      <w:pPr>
        <w:rPr>
          <w:rFonts w:ascii="仿宋_GB2312" w:eastAsia="仿宋_GB2312" w:hint="eastAsia"/>
          <w:sz w:val="32"/>
          <w:szCs w:val="32"/>
        </w:rPr>
      </w:pPr>
    </w:p>
    <w:p w:rsidR="00E87C4B" w:rsidRPr="00D95125" w:rsidRDefault="00E87C4B" w:rsidP="00E87C4B">
      <w:pPr>
        <w:rPr>
          <w:rFonts w:ascii="仿宋_GB2312" w:eastAsia="仿宋_GB2312" w:hint="eastAsia"/>
          <w:sz w:val="32"/>
          <w:szCs w:val="32"/>
        </w:rPr>
      </w:pPr>
    </w:p>
    <w:p w:rsidR="00E87C4B" w:rsidRDefault="00E87C4B" w:rsidP="00E87C4B">
      <w:pPr>
        <w:rPr>
          <w:rFonts w:ascii="仿宋_GB2312" w:eastAsia="仿宋_GB2312" w:hint="eastAsia"/>
          <w:sz w:val="28"/>
        </w:rPr>
      </w:pPr>
    </w:p>
    <w:p w:rsidR="00E87C4B" w:rsidRDefault="00E87C4B" w:rsidP="00E87C4B">
      <w:pPr>
        <w:ind w:left="360" w:right="19"/>
        <w:rPr>
          <w:rFonts w:ascii="仿宋_GB2312" w:eastAsia="仿宋_GB2312"/>
          <w:sz w:val="32"/>
        </w:rPr>
      </w:pPr>
      <w:r>
        <w:rPr>
          <w:rFonts w:ascii="仿宋_GB2312" w:eastAsia="仿宋_GB2312" w:hint="eastAsia"/>
          <w:sz w:val="32"/>
        </w:rPr>
        <w:t>山西省地方税务局</w:t>
      </w:r>
      <w:r>
        <w:rPr>
          <w:rFonts w:ascii="仿宋_GB2312" w:eastAsia="仿宋_GB2312"/>
          <w:sz w:val="32"/>
        </w:rPr>
        <w:t xml:space="preserve">   </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 xml:space="preserve">          </w:t>
      </w:r>
      <w:smartTag w:uri="urn:schemas-microsoft-com:office:smarttags" w:element="chsdate">
        <w:smartTagPr>
          <w:attr w:name="Year" w:val="2010"/>
          <w:attr w:name="Month" w:val="6"/>
          <w:attr w:name="Day" w:val="13"/>
          <w:attr w:name="IsLunarDate" w:val="False"/>
          <w:attr w:name="IsROCDate" w:val="False"/>
        </w:smartTagPr>
        <w:r>
          <w:rPr>
            <w:rFonts w:ascii="仿宋_GB2312" w:eastAsia="仿宋_GB2312" w:hint="eastAsia"/>
            <w:sz w:val="32"/>
          </w:rPr>
          <w:t>2010年6月13日</w:t>
        </w:r>
      </w:smartTag>
      <w:r>
        <w:rPr>
          <w:rFonts w:ascii="仿宋_GB2312" w:eastAsia="仿宋_GB2312" w:hint="eastAsia"/>
          <w:sz w:val="32"/>
        </w:rPr>
        <w:t>印发</w:t>
      </w:r>
    </w:p>
    <w:p w:rsidR="00E87C4B" w:rsidRDefault="00E87C4B" w:rsidP="00E87C4B">
      <w:pPr>
        <w:ind w:right="19"/>
        <w:jc w:val="center"/>
        <w:rPr>
          <w:rFonts w:ascii="仿宋_GB2312" w:eastAsia="仿宋_GB2312" w:hint="eastAsia"/>
          <w:noProof/>
          <w:sz w:val="32"/>
        </w:rPr>
      </w:pPr>
      <w:r>
        <w:rPr>
          <w:rFonts w:ascii="仿宋_GB2312" w:eastAsia="仿宋_GB2312" w:hint="eastAsia"/>
          <w:noProof/>
          <w:sz w:val="32"/>
        </w:rPr>
        <w:t xml:space="preserve">            打字：张篆萍         校对:税政一处 冯苏芳</w:t>
      </w:r>
    </w:p>
    <w:p w:rsidR="00E87C4B" w:rsidRDefault="00E87C4B" w:rsidP="00E87C4B">
      <w:pPr>
        <w:spacing w:line="520" w:lineRule="atLeast"/>
        <w:jc w:val="center"/>
        <w:rPr>
          <w:rFonts w:ascii="华文中宋" w:eastAsia="华文中宋" w:hAnsi="华文中宋" w:hint="eastAsia"/>
          <w:b/>
          <w:bCs/>
          <w:color w:val="FF0000"/>
          <w:spacing w:val="120"/>
          <w:sz w:val="116"/>
          <w:szCs w:val="116"/>
        </w:rPr>
      </w:pPr>
      <w:bookmarkStart w:id="2" w:name="ZBDW"/>
      <w:bookmarkEnd w:id="2"/>
      <w:r>
        <w:rPr>
          <w:rFonts w:ascii="华文中宋" w:eastAsia="华文中宋" w:hAnsi="华文中宋" w:hint="eastAsia"/>
          <w:b/>
          <w:bCs/>
          <w:color w:val="FF0000"/>
          <w:spacing w:val="120"/>
          <w:sz w:val="116"/>
          <w:szCs w:val="116"/>
        </w:rPr>
        <w:lastRenderedPageBreak/>
        <w:t>国家税务总局文件</w:t>
      </w:r>
    </w:p>
    <w:p w:rsidR="00E87C4B" w:rsidRDefault="00E87C4B" w:rsidP="00E87C4B">
      <w:pPr>
        <w:spacing w:line="640" w:lineRule="atLeast"/>
        <w:rPr>
          <w:rFonts w:ascii="仿宋_GB2312" w:eastAsia="仿宋_GB2312" w:hint="eastAsia"/>
          <w:spacing w:val="20"/>
          <w:sz w:val="32"/>
          <w:szCs w:val="32"/>
        </w:rPr>
      </w:pPr>
      <w:r>
        <w:rPr>
          <w:rFonts w:ascii="仿宋_GB2312" w:eastAsia="仿宋_GB2312" w:hint="eastAsia"/>
          <w:spacing w:val="20"/>
          <w:sz w:val="32"/>
          <w:szCs w:val="32"/>
        </w:rPr>
        <w:t xml:space="preserve"> </w:t>
      </w:r>
    </w:p>
    <w:p w:rsidR="00E87C4B" w:rsidRDefault="00E87C4B" w:rsidP="00E87C4B">
      <w:pPr>
        <w:spacing w:line="640" w:lineRule="atLeast"/>
        <w:jc w:val="center"/>
        <w:rPr>
          <w:rFonts w:ascii="仿宋_GB2312" w:eastAsia="仿宋_GB2312" w:hint="eastAsia"/>
          <w:sz w:val="32"/>
          <w:szCs w:val="32"/>
        </w:rPr>
      </w:pPr>
      <w:r>
        <w:rPr>
          <w:rFonts w:ascii="仿宋_GB2312" w:eastAsia="仿宋_GB2312" w:hint="eastAsia"/>
          <w:sz w:val="32"/>
          <w:szCs w:val="32"/>
        </w:rPr>
        <w:t xml:space="preserve">国税发〔2010〕53号 </w:t>
      </w:r>
    </w:p>
    <w:p w:rsidR="00E87C4B" w:rsidRDefault="00E87C4B" w:rsidP="00E87C4B">
      <w:pPr>
        <w:spacing w:line="640" w:lineRule="atLeast"/>
        <w:rPr>
          <w:rFonts w:ascii="宋体" w:hAnsi="宋体" w:hint="eastAsia"/>
          <w:b/>
          <w:bCs/>
          <w:sz w:val="32"/>
          <w:szCs w:val="32"/>
        </w:rPr>
      </w:pPr>
      <w:r>
        <w:rPr>
          <w:noProof/>
        </w:rPr>
        <w:drawing>
          <wp:inline distT="0" distB="0" distL="0" distR="0">
            <wp:extent cx="6096000" cy="28575"/>
            <wp:effectExtent l="19050" t="0" r="0" b="0"/>
            <wp:docPr id="1" name="图片 1" descr="wps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90"/>
                    <pic:cNvPicPr>
                      <a:picLocks noChangeAspect="1" noChangeArrowheads="1"/>
                    </pic:cNvPicPr>
                  </pic:nvPicPr>
                  <pic:blipFill>
                    <a:blip r:embed="rId6"/>
                    <a:srcRect/>
                    <a:stretch>
                      <a:fillRect/>
                    </a:stretch>
                  </pic:blipFill>
                  <pic:spPr bwMode="auto">
                    <a:xfrm>
                      <a:off x="0" y="0"/>
                      <a:ext cx="6096000" cy="28575"/>
                    </a:xfrm>
                    <a:prstGeom prst="rect">
                      <a:avLst/>
                    </a:prstGeom>
                    <a:noFill/>
                    <a:ln w="9525">
                      <a:noFill/>
                      <a:miter lim="800000"/>
                      <a:headEnd/>
                      <a:tailEnd/>
                    </a:ln>
                  </pic:spPr>
                </pic:pic>
              </a:graphicData>
            </a:graphic>
          </wp:inline>
        </w:drawing>
      </w:r>
      <w:r>
        <w:rPr>
          <w:rFonts w:ascii="宋体" w:hAnsi="宋体" w:hint="eastAsia"/>
          <w:b/>
          <w:bCs/>
          <w:sz w:val="32"/>
          <w:szCs w:val="32"/>
        </w:rPr>
        <w:t xml:space="preserve"> </w:t>
      </w:r>
    </w:p>
    <w:p w:rsidR="00E87C4B" w:rsidRDefault="00E87C4B" w:rsidP="00E87C4B">
      <w:pPr>
        <w:pStyle w:val="a6"/>
        <w:jc w:val="center"/>
        <w:rPr>
          <w:rFonts w:ascii="华文中宋" w:eastAsia="华文中宋" w:hAnsi="华文中宋" w:cs="宋体" w:hint="eastAsia"/>
          <w:b/>
          <w:bCs/>
          <w:sz w:val="44"/>
          <w:szCs w:val="44"/>
        </w:rPr>
      </w:pPr>
      <w:r>
        <w:rPr>
          <w:rFonts w:ascii="华文中宋" w:eastAsia="华文中宋" w:hAnsi="华文中宋" w:cs="宋体" w:hint="eastAsia"/>
          <w:b/>
          <w:bCs/>
          <w:sz w:val="44"/>
          <w:szCs w:val="44"/>
        </w:rPr>
        <w:t>国家税务总局关于</w:t>
      </w:r>
    </w:p>
    <w:p w:rsidR="00E87C4B" w:rsidRDefault="00E87C4B" w:rsidP="00E87C4B">
      <w:pPr>
        <w:pStyle w:val="a6"/>
        <w:jc w:val="center"/>
        <w:rPr>
          <w:rFonts w:ascii="华文中宋" w:eastAsia="华文中宋" w:hAnsi="华文中宋" w:cs="宋体" w:hint="eastAsia"/>
          <w:b/>
          <w:bCs/>
          <w:sz w:val="44"/>
          <w:szCs w:val="44"/>
        </w:rPr>
      </w:pPr>
      <w:r>
        <w:rPr>
          <w:rFonts w:ascii="华文中宋" w:eastAsia="华文中宋" w:hAnsi="华文中宋" w:cs="宋体" w:hint="eastAsia"/>
          <w:b/>
          <w:bCs/>
          <w:sz w:val="44"/>
          <w:szCs w:val="44"/>
        </w:rPr>
        <w:t>加强土地增值税征管工作的通知</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t>各省、自治区、直辖市和计划单列市地方税务局，西藏、宁夏、青海省（自治区）国家税务局：</w:t>
      </w:r>
      <w:r>
        <w:rPr>
          <w:rFonts w:ascii="仿宋_GB2312" w:eastAsia="仿宋_GB2312" w:hAnsi="仿宋_GB2312" w:cs="仿宋_GB2312" w:hint="eastAsia"/>
          <w:sz w:val="32"/>
          <w:szCs w:val="32"/>
        </w:rPr>
        <w:t></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为深入贯彻《国务院关于坚决遏制部分城市房价过快上涨的通知》（国发〔2010〕10号）精神，促进房地产行业健康发展，</w:t>
      </w:r>
      <w:r>
        <w:rPr>
          <w:rFonts w:ascii="仿宋_GB2312" w:eastAsia="仿宋_GB2312" w:hAnsi="宋体" w:cs="宋体" w:hint="eastAsia"/>
          <w:sz w:val="32"/>
          <w:szCs w:val="32"/>
        </w:rPr>
        <w:lastRenderedPageBreak/>
        <w:t>合理调节房地产开发收益，充分发挥土地增值税调控作用，现就加强土地增值税征收管理工作通知如下：</w:t>
      </w:r>
    </w:p>
    <w:p w:rsidR="00E87C4B" w:rsidRDefault="00E87C4B" w:rsidP="00E87C4B">
      <w:pPr>
        <w:pStyle w:val="a6"/>
        <w:spacing w:line="360" w:lineRule="auto"/>
        <w:rPr>
          <w:rFonts w:ascii="仿宋_GB2312" w:eastAsia="仿宋_GB2312" w:hAnsi="宋体" w:cs="宋体" w:hint="eastAsia"/>
          <w:b/>
          <w:bCs/>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b/>
          <w:bCs/>
          <w:sz w:val="32"/>
          <w:szCs w:val="32"/>
        </w:rPr>
        <w:t>一、统一思想认识，全面加强土地增值税征管工作</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土地增值税是保障收入公平分配、促进房地产市场健康发展的有力工具。各级税务机关要认真贯彻落实国务院通知精神，高度重视土地增值税征管工作，进一步加强土地增值税清算，强化税收调节作用。</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各级税务机关要在当地政府支持下，与国土资源、住房建设等有关部门协调配合，进一步加强对土地增值税征收管理工作的组织领导，强化征管手段，配备业务骨干，集中精力加强管理。要组织开展督导检查，推进本地区土地增值税清算工作开展；摸清本地区土地增值税税源状况，健全和完善房地产项目管理制度；完善土地增值税预征和清算制度，科学实施预征，全面组织清算，充分发挥土地增值税的调节作用。</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lastRenderedPageBreak/>
        <w:t xml:space="preserve">  还没有全面组织清算、管理比较松懈的地区，要转变观念、提高认识，将思想统一到国发〔2010〕10号文件精神上来，坚决、全面、深入的推进本地区土地增值税清算工作，不折不扣地将国发〔2010〕10号文件精神落到实处。</w:t>
      </w:r>
    </w:p>
    <w:p w:rsidR="00E87C4B" w:rsidRDefault="00E87C4B" w:rsidP="00E87C4B">
      <w:pPr>
        <w:pStyle w:val="a6"/>
        <w:spacing w:line="360" w:lineRule="auto"/>
        <w:rPr>
          <w:rFonts w:ascii="仿宋_GB2312" w:eastAsia="仿宋_GB2312" w:hAnsi="宋体" w:cs="宋体" w:hint="eastAsia"/>
          <w:b/>
          <w:bCs/>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b/>
          <w:bCs/>
          <w:sz w:val="32"/>
          <w:szCs w:val="32"/>
        </w:rPr>
        <w:t>二、科学合理制定预征率，加强土地增值税预征工作</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预征是土地增值税征收管理工作的基础，是实现土地增值税调节功能、保障税收收入均衡入库的重要手段。各级税务机关要全面加强土地增值税的预征工作，把土地增值税预征和房地产项目管理工作结合起来，把土地增值税预征和销售不动产营业税结合起来；把预征率的调整和土地增值税清算的实际税负结合起来；把预征率的调整与房价上涨的情况结合起来，使预征率更加接近实际税负水平，改变目前部分地区存在的预征率偏低，与房价快速上涨不匹配的情况。通过科学、精细的测算，研究预征率调整与房价上涨的挂钩机制。</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lastRenderedPageBreak/>
        <w:t>为了发挥土地增值税在预征阶段的调节作用，各地须对目前的预征率进行调整。除保障性住房外，东部地区省份预征率不得低于2%，中部和东北地区省份不得低于1.5%，西部地区省份不得低于1%，各地要根据不同类型房地产确定适当的预征率（地区的划分按照国务院有关文件的规定执行）。对尚未预征或暂缓预征的地区，应切实按照税收法律法规开展预征，确保土地增值税在预征阶段及时、充分发挥调节作用。</w:t>
      </w:r>
    </w:p>
    <w:p w:rsidR="00E87C4B" w:rsidRDefault="00E87C4B" w:rsidP="00E87C4B">
      <w:pPr>
        <w:pStyle w:val="a6"/>
        <w:spacing w:line="360" w:lineRule="auto"/>
        <w:rPr>
          <w:rFonts w:ascii="仿宋_GB2312" w:eastAsia="仿宋_GB2312" w:hAnsi="宋体" w:cs="宋体" w:hint="eastAsia"/>
          <w:b/>
          <w:bCs/>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b/>
          <w:bCs/>
          <w:sz w:val="32"/>
          <w:szCs w:val="32"/>
        </w:rPr>
        <w:t>三、深入贯彻《土地增值税清算管理规程》，提高清算工作水平</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土地增值税清算是纳税人应尽的法定义务。组织土地增值税清算工作是实现土地增值税调控功能的关键环节。各级税务机关要克服畏难情绪，切实加强土地增值税清算工作。要按照《土地增值税清算管理规程》的要求，结合本地实际，进一步细化操作办法，完善清算流程，严格审核房地产开发项目的收入和扣除项</w:t>
      </w:r>
      <w:r>
        <w:rPr>
          <w:rFonts w:ascii="仿宋_GB2312" w:eastAsia="仿宋_GB2312" w:hAnsi="宋体" w:cs="宋体" w:hint="eastAsia"/>
          <w:sz w:val="32"/>
          <w:szCs w:val="32"/>
        </w:rPr>
        <w:lastRenderedPageBreak/>
        <w:t>目，提升清算水平。有条件的地区，要充分发挥中介机构作用，提高清算效率。各地税务师管理中心要配合当地税务机关加强对中介机构的管理，对清算中弄虚作假的中介机构进行严肃惩治。</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各级税务机关要全面开展土地增值税清算审核工作。要对已经达到清算条件的项目，全面进行梳理、统计，制定切实可行的工作计划，提出清算进度的具体指标；要加强土地增值税税收法规和政策的宣传辅导，加强纳税服务，要求企业及时依法进行清算，按照《土地增值税清算管理规程》的规定和时限进行申报；对未按照税收法律法规要求及时进行清算的纳税人，要依法进行处罚；对审核中发现重大疑点的，要及时移交税务稽查部门进行稽查；对涉及偷逃土地增值税税款的重大稽查案件要及时向社会公布案件处理情况。</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t xml:space="preserve">  各级税务机关要将全面推进工作和重点清算审核结合起来，按照国发〔2010〕10号文件精神，有针对性地选择3-5个定价过</w:t>
      </w:r>
      <w:r>
        <w:rPr>
          <w:rFonts w:ascii="仿宋_GB2312" w:eastAsia="仿宋_GB2312" w:hAnsi="宋体" w:cs="宋体" w:hint="eastAsia"/>
          <w:sz w:val="32"/>
          <w:szCs w:val="32"/>
        </w:rPr>
        <w:lastRenderedPageBreak/>
        <w:t>高、涨幅过快的项目，作为重点清算审核对象，以点带面推动本地区清算工作。</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各地要在6月底前将本地区的清算工作计划（包括本地区组织企业进行清算的具体措施和年内完成的目标等内容，具体数据见附表）和重点清算项目名单上报税务总局，税务总局将就各地对重点项目的清算情况进行抽查。</w:t>
      </w:r>
    </w:p>
    <w:p w:rsidR="00E87C4B" w:rsidRDefault="00E87C4B" w:rsidP="00E87C4B">
      <w:pPr>
        <w:pStyle w:val="a6"/>
        <w:spacing w:line="360" w:lineRule="auto"/>
        <w:rPr>
          <w:rFonts w:ascii="仿宋_GB2312" w:eastAsia="仿宋_GB2312" w:hAnsi="宋体" w:cs="宋体" w:hint="eastAsia"/>
          <w:b/>
          <w:bCs/>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b/>
          <w:bCs/>
          <w:sz w:val="32"/>
          <w:szCs w:val="32"/>
        </w:rPr>
        <w:t>四、规范核定征收，堵塞税收征管漏洞</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核定征收必须严格依照税收法律法规规定的条件进行，任何单位和个人不得擅自扩大核定征收范围，严禁在清算中出现“以核定为主、一核了之”、“求快图省”的做法。凡擅自将核定征收作为本地区土地增值税清算主要方式的，必须立即纠正。对确需核定征收的，要严格按照税收法律法规的要求，从严、从高确定核定征收率。为了规范核定工作，核定征收率原则上不得低于5%，各省级税务机关要结合本地实际，区分不同房地产类型制定</w:t>
      </w:r>
      <w:r>
        <w:rPr>
          <w:rFonts w:ascii="仿宋_GB2312" w:eastAsia="仿宋_GB2312" w:hAnsi="宋体" w:cs="宋体" w:hint="eastAsia"/>
          <w:sz w:val="32"/>
          <w:szCs w:val="32"/>
        </w:rPr>
        <w:lastRenderedPageBreak/>
        <w:t>核定征收率。</w:t>
      </w:r>
    </w:p>
    <w:p w:rsidR="00E87C4B" w:rsidRDefault="00E87C4B" w:rsidP="00E87C4B">
      <w:pPr>
        <w:pStyle w:val="a6"/>
        <w:spacing w:line="360" w:lineRule="auto"/>
        <w:rPr>
          <w:rFonts w:ascii="仿宋_GB2312" w:eastAsia="仿宋_GB2312" w:hAnsi="宋体" w:cs="宋体" w:hint="eastAsia"/>
          <w:b/>
          <w:bCs/>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b/>
          <w:bCs/>
          <w:sz w:val="32"/>
          <w:szCs w:val="32"/>
        </w:rPr>
        <w:t>五、加强督导检查，建立问责机制</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各级税务机关要按照国发〔2010〕10号文件关于建立考核问责机制的要求，把土地增值税清算工作列入年度考核内容，对清算工作开展情况和清算质量提出具体要求。要根据《国家税务总局关于进一步开展土地增值税清算工作的通知》（国税函〔2008〕318号）的要求，对清算工作开展情况进行有力的督导检查，积极推动土地增值税清算工作，提高土地增值税征管水平。国家税务总局将继续组织督导检查组，对各地土地增值税贯彻执行情况和清算工作开展情况进行系统深入的督导检查。国家税务总局已经督导检查过的地区，要针对检查中发现的问题，进行认真整改，督导检查组将对整改情况择时择地进行复查。</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各省、自治区、直辖市和计划单列市地方税务局要在6月底前将本通知的贯彻落实情况向税务总局上报。</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lastRenderedPageBreak/>
        <w:t xml:space="preserve"> </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附件：土地增值税清算计划统计表</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p>
    <w:p w:rsidR="00E87C4B" w:rsidRDefault="00E87C4B" w:rsidP="00E87C4B">
      <w:pPr>
        <w:pStyle w:val="a6"/>
        <w:spacing w:line="360" w:lineRule="auto"/>
        <w:jc w:val="right"/>
        <w:rPr>
          <w:rFonts w:ascii="仿宋_GB2312" w:eastAsia="仿宋_GB2312" w:hAnsi="宋体" w:cs="宋体" w:hint="eastAsia"/>
          <w:sz w:val="32"/>
          <w:szCs w:val="32"/>
        </w:rPr>
      </w:pPr>
      <w:r>
        <w:rPr>
          <w:rFonts w:ascii="仿宋_GB2312" w:eastAsia="仿宋_GB2312" w:hAnsi="宋体" w:cs="宋体" w:hint="eastAsia"/>
          <w:sz w:val="32"/>
          <w:szCs w:val="32"/>
        </w:rPr>
        <w:t>二○一○年</w:t>
      </w:r>
      <w:smartTag w:uri="urn:schemas-microsoft-com:office:smarttags" w:element="chsdate">
        <w:smartTagPr>
          <w:attr w:name="Year" w:val="2019"/>
          <w:attr w:name="Month" w:val="5"/>
          <w:attr w:name="Day" w:val="25"/>
          <w:attr w:name="IsLunarDate" w:val="False"/>
          <w:attr w:name="IsROCDate" w:val="False"/>
        </w:smartTagPr>
        <w:r>
          <w:rPr>
            <w:rFonts w:ascii="仿宋_GB2312" w:eastAsia="仿宋_GB2312" w:hAnsi="宋体" w:cs="宋体" w:hint="eastAsia"/>
            <w:sz w:val="32"/>
            <w:szCs w:val="32"/>
          </w:rPr>
          <w:t>五月二十五日</w:t>
        </w:r>
      </w:smartTag>
    </w:p>
    <w:p w:rsidR="00E87C4B" w:rsidRDefault="00E87C4B" w:rsidP="00E87C4B">
      <w:pPr>
        <w:spacing w:line="640" w:lineRule="atLeast"/>
        <w:rPr>
          <w:rFonts w:ascii="仿宋_GB2312" w:eastAsia="仿宋_GB2312" w:hint="eastAsia"/>
          <w:sz w:val="28"/>
          <w:szCs w:val="28"/>
        </w:rPr>
      </w:pPr>
      <w:r>
        <w:rPr>
          <w:rFonts w:ascii="仿宋_GB2312" w:eastAsia="仿宋_GB2312" w:hint="eastAsia"/>
          <w:sz w:val="28"/>
          <w:szCs w:val="28"/>
        </w:rPr>
        <w:t xml:space="preserve"> </w:t>
      </w:r>
    </w:p>
    <w:p w:rsidR="00E87C4B" w:rsidRDefault="00E87C4B" w:rsidP="00E87C4B">
      <w:pPr>
        <w:spacing w:line="640" w:lineRule="atLeast"/>
        <w:ind w:left="120"/>
        <w:rPr>
          <w:rFonts w:ascii="仿宋_GB2312" w:eastAsia="仿宋_GB2312" w:hint="eastAsia"/>
          <w:sz w:val="28"/>
          <w:szCs w:val="28"/>
        </w:rPr>
      </w:pPr>
      <w:r>
        <w:rPr>
          <w:rFonts w:ascii="仿宋_GB2312" w:eastAsia="仿宋_GB2312" w:hint="eastAsia"/>
          <w:sz w:val="28"/>
          <w:szCs w:val="28"/>
        </w:rPr>
        <w:t xml:space="preserve"> </w:t>
      </w:r>
    </w:p>
    <w:p w:rsidR="00E87C4B" w:rsidRDefault="00E87C4B" w:rsidP="00E87C4B">
      <w:pPr>
        <w:spacing w:line="640" w:lineRule="atLeast"/>
        <w:ind w:left="120"/>
        <w:rPr>
          <w:rFonts w:ascii="仿宋_GB2312" w:eastAsia="仿宋_GB2312" w:hint="eastAsia"/>
          <w:sz w:val="28"/>
          <w:szCs w:val="28"/>
        </w:rPr>
      </w:pPr>
    </w:p>
    <w:p w:rsidR="00E87C4B" w:rsidRDefault="00E87C4B" w:rsidP="00E87C4B">
      <w:pPr>
        <w:spacing w:line="640" w:lineRule="atLeast"/>
        <w:ind w:left="120"/>
        <w:rPr>
          <w:rFonts w:ascii="仿宋_GB2312" w:eastAsia="仿宋_GB2312" w:hint="eastAsia"/>
          <w:sz w:val="28"/>
          <w:szCs w:val="28"/>
        </w:rPr>
      </w:pPr>
    </w:p>
    <w:p w:rsidR="00E87C4B" w:rsidRDefault="00E87C4B" w:rsidP="00E87C4B">
      <w:pPr>
        <w:spacing w:line="640" w:lineRule="atLeast"/>
        <w:ind w:firstLineChars="118" w:firstLine="378"/>
        <w:rPr>
          <w:rFonts w:ascii="宋体" w:hAnsi="宋体" w:hint="eastAsia"/>
          <w:sz w:val="32"/>
          <w:szCs w:val="32"/>
        </w:rPr>
      </w:pPr>
      <w:r>
        <w:rPr>
          <w:rFonts w:ascii="黑体" w:eastAsia="黑体" w:hint="eastAsia"/>
          <w:sz w:val="32"/>
          <w:szCs w:val="32"/>
        </w:rPr>
        <w:t>信息公开选项：主动公开</w:t>
      </w:r>
    </w:p>
    <w:p w:rsidR="00E87C4B" w:rsidRDefault="00E87C4B" w:rsidP="00E87C4B">
      <w:pPr>
        <w:spacing w:line="520" w:lineRule="atLeast"/>
        <w:ind w:left="360" w:right="-321"/>
        <w:rPr>
          <w:rFonts w:ascii="仿宋_GB2312" w:eastAsia="仿宋_GB2312" w:hint="eastAsia"/>
          <w:sz w:val="32"/>
          <w:szCs w:val="32"/>
        </w:rPr>
      </w:pPr>
      <w:r>
        <w:rPr>
          <w:noProof/>
        </w:rPr>
        <w:drawing>
          <wp:inline distT="0" distB="0" distL="0" distR="0">
            <wp:extent cx="6115050" cy="19050"/>
            <wp:effectExtent l="19050" t="0" r="0" b="0"/>
            <wp:docPr id="2" name="图片 2" descr="wps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91"/>
                    <pic:cNvPicPr>
                      <a:picLocks noChangeAspect="1" noChangeArrowheads="1"/>
                    </pic:cNvPicPr>
                  </pic:nvPicPr>
                  <pic:blipFill>
                    <a:blip r:embed="rId7"/>
                    <a:srcRect/>
                    <a:stretch>
                      <a:fillRect/>
                    </a:stretch>
                  </pic:blipFill>
                  <pic:spPr bwMode="auto">
                    <a:xfrm>
                      <a:off x="0" y="0"/>
                      <a:ext cx="6115050" cy="19050"/>
                    </a:xfrm>
                    <a:prstGeom prst="rect">
                      <a:avLst/>
                    </a:prstGeom>
                    <a:noFill/>
                    <a:ln w="9525">
                      <a:noFill/>
                      <a:miter lim="800000"/>
                      <a:headEnd/>
                      <a:tailEnd/>
                    </a:ln>
                  </pic:spPr>
                </pic:pic>
              </a:graphicData>
            </a:graphic>
          </wp:inline>
        </w:drawing>
      </w:r>
      <w:r>
        <w:rPr>
          <w:rFonts w:ascii="仿宋_GB2312" w:eastAsia="仿宋_GB2312" w:hint="eastAsia"/>
          <w:sz w:val="32"/>
          <w:szCs w:val="32"/>
        </w:rPr>
        <w:t xml:space="preserve">国家税务总局                     </w:t>
      </w:r>
      <w:smartTag w:uri="urn:schemas-microsoft-com:office:smarttags" w:element="chsdate">
        <w:smartTagPr>
          <w:attr w:name="Year" w:val="2010"/>
          <w:attr w:name="Month" w:val="5"/>
          <w:attr w:name="Day" w:val="31"/>
          <w:attr w:name="IsLunarDate" w:val="False"/>
          <w:attr w:name="IsROCDate" w:val="False"/>
        </w:smartTagPr>
        <w:r>
          <w:rPr>
            <w:rFonts w:ascii="仿宋_GB2312" w:eastAsia="仿宋_GB2312" w:hint="eastAsia"/>
            <w:sz w:val="32"/>
            <w:szCs w:val="32"/>
          </w:rPr>
          <w:t>2010年5月31日</w:t>
        </w:r>
      </w:smartTag>
      <w:r>
        <w:rPr>
          <w:rFonts w:ascii="仿宋_GB2312" w:eastAsia="仿宋_GB2312" w:hint="eastAsia"/>
          <w:sz w:val="32"/>
          <w:szCs w:val="32"/>
        </w:rPr>
        <w:t>封发</w:t>
      </w:r>
    </w:p>
    <w:p w:rsidR="00E87C4B" w:rsidRDefault="00E87C4B" w:rsidP="00E87C4B">
      <w:pPr>
        <w:spacing w:line="520" w:lineRule="atLeast"/>
        <w:ind w:right="-321" w:firstLineChars="112" w:firstLine="235"/>
        <w:rPr>
          <w:rFonts w:ascii="仿宋_GB2312" w:eastAsia="仿宋_GB2312" w:hint="eastAsia"/>
          <w:b/>
          <w:bCs/>
          <w:sz w:val="32"/>
          <w:szCs w:val="32"/>
        </w:rPr>
      </w:pPr>
      <w:r>
        <w:rPr>
          <w:noProof/>
        </w:rPr>
        <w:drawing>
          <wp:inline distT="0" distB="0" distL="0" distR="0">
            <wp:extent cx="6115050" cy="19050"/>
            <wp:effectExtent l="19050" t="0" r="0" b="0"/>
            <wp:docPr id="3" name="图片 3" descr="wps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s92"/>
                    <pic:cNvPicPr>
                      <a:picLocks noChangeAspect="1" noChangeArrowheads="1"/>
                    </pic:cNvPicPr>
                  </pic:nvPicPr>
                  <pic:blipFill>
                    <a:blip r:embed="rId7"/>
                    <a:srcRect/>
                    <a:stretch>
                      <a:fillRect/>
                    </a:stretch>
                  </pic:blipFill>
                  <pic:spPr bwMode="auto">
                    <a:xfrm>
                      <a:off x="0" y="0"/>
                      <a:ext cx="6115050" cy="19050"/>
                    </a:xfrm>
                    <a:prstGeom prst="rect">
                      <a:avLst/>
                    </a:prstGeom>
                    <a:noFill/>
                    <a:ln w="9525">
                      <a:noFill/>
                      <a:miter lim="800000"/>
                      <a:headEnd/>
                      <a:tailEnd/>
                    </a:ln>
                  </pic:spPr>
                </pic:pic>
              </a:graphicData>
            </a:graphic>
          </wp:inline>
        </w:drawing>
      </w:r>
      <w:r>
        <w:rPr>
          <w:rFonts w:ascii="仿宋_GB2312" w:eastAsia="仿宋_GB2312" w:hint="eastAsia"/>
          <w:sz w:val="32"/>
          <w:szCs w:val="32"/>
        </w:rPr>
        <w:t xml:space="preserve">校对：财产和行为税司  </w:t>
      </w:r>
    </w:p>
    <w:p w:rsidR="00E87C4B" w:rsidRDefault="00E87C4B" w:rsidP="00E87C4B">
      <w:pPr>
        <w:rPr>
          <w:rFonts w:ascii="宋体" w:hAnsi="宋体"/>
          <w:sz w:val="24"/>
          <w:szCs w:val="24"/>
        </w:rPr>
        <w:sectPr w:rsidR="00E87C4B" w:rsidSect="00E87C4B">
          <w:footerReference w:type="even" r:id="rId8"/>
          <w:footerReference w:type="default" r:id="rId9"/>
          <w:pgSz w:w="11907" w:h="16840" w:code="9"/>
          <w:pgMar w:top="2098" w:right="1531" w:bottom="1985" w:left="1531" w:header="567" w:footer="907" w:gutter="0"/>
          <w:cols w:space="425"/>
          <w:titlePg/>
          <w:docGrid w:type="linesAndChars" w:linePitch="579"/>
        </w:sectPr>
      </w:pPr>
    </w:p>
    <w:tbl>
      <w:tblPr>
        <w:tblW w:w="14560" w:type="dxa"/>
        <w:tblInd w:w="93" w:type="dxa"/>
        <w:tblLayout w:type="fixed"/>
        <w:tblLook w:val="0000"/>
      </w:tblPr>
      <w:tblGrid>
        <w:gridCol w:w="2420"/>
        <w:gridCol w:w="1880"/>
        <w:gridCol w:w="1780"/>
        <w:gridCol w:w="2060"/>
        <w:gridCol w:w="2140"/>
        <w:gridCol w:w="2020"/>
        <w:gridCol w:w="2260"/>
      </w:tblGrid>
      <w:tr w:rsidR="00E87C4B" w:rsidTr="00B4410A">
        <w:trPr>
          <w:trHeight w:val="285"/>
        </w:trPr>
        <w:tc>
          <w:tcPr>
            <w:tcW w:w="2420" w:type="dxa"/>
            <w:tcBorders>
              <w:top w:val="nil"/>
              <w:left w:val="nil"/>
              <w:bottom w:val="nil"/>
              <w:right w:val="nil"/>
            </w:tcBorders>
            <w:noWrap/>
            <w:vAlign w:val="center"/>
          </w:tcPr>
          <w:p w:rsidR="00E87C4B" w:rsidRDefault="00E87C4B" w:rsidP="00B4410A">
            <w:pPr>
              <w:rPr>
                <w:rFonts w:ascii="宋体" w:hAnsi="宋体"/>
                <w:sz w:val="24"/>
                <w:szCs w:val="24"/>
              </w:rPr>
            </w:pPr>
          </w:p>
        </w:tc>
        <w:tc>
          <w:tcPr>
            <w:tcW w:w="7860" w:type="dxa"/>
            <w:gridSpan w:val="4"/>
            <w:tcBorders>
              <w:top w:val="nil"/>
              <w:left w:val="nil"/>
              <w:bottom w:val="nil"/>
              <w:right w:val="nil"/>
            </w:tcBorders>
            <w:vAlign w:val="center"/>
          </w:tcPr>
          <w:p w:rsidR="00E87C4B" w:rsidRDefault="00E87C4B" w:rsidP="00B4410A">
            <w:pPr>
              <w:rPr>
                <w:rFonts w:ascii="黑体" w:eastAsia="黑体" w:hint="eastAsia"/>
              </w:rPr>
            </w:pPr>
          </w:p>
          <w:p w:rsidR="00E87C4B" w:rsidRDefault="00E87C4B" w:rsidP="00B4410A">
            <w:pPr>
              <w:jc w:val="center"/>
              <w:rPr>
                <w:rFonts w:ascii="黑体" w:eastAsia="黑体" w:hAnsi="宋体" w:cs="宋体"/>
                <w:sz w:val="24"/>
                <w:szCs w:val="24"/>
              </w:rPr>
            </w:pPr>
            <w:r>
              <w:rPr>
                <w:rFonts w:ascii="黑体" w:eastAsia="黑体" w:hint="eastAsia"/>
              </w:rPr>
              <w:t xml:space="preserve">土地增值税清算计划统计表        </w:t>
            </w:r>
          </w:p>
        </w:tc>
        <w:tc>
          <w:tcPr>
            <w:tcW w:w="2020" w:type="dxa"/>
            <w:tcBorders>
              <w:top w:val="nil"/>
              <w:left w:val="nil"/>
              <w:bottom w:val="nil"/>
              <w:right w:val="nil"/>
            </w:tcBorders>
            <w:noWrap/>
            <w:vAlign w:val="center"/>
          </w:tcPr>
          <w:p w:rsidR="00E87C4B" w:rsidRDefault="00E87C4B" w:rsidP="00B4410A">
            <w:pPr>
              <w:rPr>
                <w:rFonts w:ascii="宋体" w:hAnsi="宋体"/>
                <w:sz w:val="24"/>
                <w:szCs w:val="24"/>
              </w:rPr>
            </w:pPr>
          </w:p>
        </w:tc>
        <w:tc>
          <w:tcPr>
            <w:tcW w:w="2260" w:type="dxa"/>
            <w:tcBorders>
              <w:top w:val="nil"/>
              <w:left w:val="nil"/>
              <w:bottom w:val="nil"/>
              <w:right w:val="nil"/>
            </w:tcBorders>
            <w:noWrap/>
            <w:vAlign w:val="center"/>
          </w:tcPr>
          <w:p w:rsidR="00E87C4B" w:rsidRDefault="00E87C4B" w:rsidP="00B4410A">
            <w:pPr>
              <w:rPr>
                <w:rFonts w:ascii="宋体" w:hAnsi="宋体"/>
                <w:sz w:val="24"/>
                <w:szCs w:val="24"/>
              </w:rPr>
            </w:pPr>
          </w:p>
        </w:tc>
      </w:tr>
      <w:tr w:rsidR="00E87C4B" w:rsidTr="00B4410A">
        <w:trPr>
          <w:trHeight w:val="585"/>
        </w:trPr>
        <w:tc>
          <w:tcPr>
            <w:tcW w:w="2420" w:type="dxa"/>
            <w:tcBorders>
              <w:top w:val="nil"/>
              <w:left w:val="nil"/>
              <w:bottom w:val="nil"/>
              <w:right w:val="nil"/>
            </w:tcBorders>
            <w:noWrap/>
            <w:vAlign w:val="center"/>
          </w:tcPr>
          <w:p w:rsidR="00E87C4B" w:rsidRDefault="00E87C4B" w:rsidP="00B4410A">
            <w:pPr>
              <w:rPr>
                <w:rFonts w:ascii="宋体" w:hAnsi="宋体"/>
                <w:sz w:val="24"/>
                <w:szCs w:val="24"/>
              </w:rPr>
            </w:pPr>
          </w:p>
        </w:tc>
        <w:tc>
          <w:tcPr>
            <w:tcW w:w="1880" w:type="dxa"/>
            <w:tcBorders>
              <w:top w:val="nil"/>
              <w:left w:val="nil"/>
              <w:bottom w:val="nil"/>
              <w:right w:val="nil"/>
            </w:tcBorders>
            <w:vAlign w:val="center"/>
          </w:tcPr>
          <w:p w:rsidR="00E87C4B" w:rsidRDefault="00E87C4B" w:rsidP="00B4410A">
            <w:pPr>
              <w:jc w:val="center"/>
              <w:rPr>
                <w:rFonts w:ascii="黑体" w:eastAsia="黑体" w:hAnsi="宋体" w:cs="宋体"/>
                <w:sz w:val="24"/>
                <w:szCs w:val="24"/>
              </w:rPr>
            </w:pPr>
          </w:p>
        </w:tc>
        <w:tc>
          <w:tcPr>
            <w:tcW w:w="1780" w:type="dxa"/>
            <w:tcBorders>
              <w:top w:val="nil"/>
              <w:left w:val="nil"/>
              <w:bottom w:val="nil"/>
              <w:right w:val="nil"/>
            </w:tcBorders>
            <w:vAlign w:val="center"/>
          </w:tcPr>
          <w:p w:rsidR="00E87C4B" w:rsidRDefault="00E87C4B" w:rsidP="00B4410A">
            <w:pPr>
              <w:jc w:val="center"/>
              <w:rPr>
                <w:rFonts w:ascii="黑体" w:eastAsia="黑体" w:hAnsi="宋体" w:cs="宋体"/>
                <w:sz w:val="24"/>
                <w:szCs w:val="24"/>
              </w:rPr>
            </w:pPr>
          </w:p>
        </w:tc>
        <w:tc>
          <w:tcPr>
            <w:tcW w:w="2060" w:type="dxa"/>
            <w:tcBorders>
              <w:top w:val="nil"/>
              <w:left w:val="nil"/>
              <w:bottom w:val="nil"/>
              <w:right w:val="nil"/>
            </w:tcBorders>
            <w:vAlign w:val="center"/>
          </w:tcPr>
          <w:p w:rsidR="00E87C4B" w:rsidRDefault="00E87C4B" w:rsidP="00B4410A">
            <w:pPr>
              <w:jc w:val="center"/>
              <w:rPr>
                <w:rFonts w:ascii="黑体" w:eastAsia="黑体" w:hAnsi="宋体" w:cs="宋体"/>
                <w:sz w:val="24"/>
                <w:szCs w:val="24"/>
              </w:rPr>
            </w:pPr>
          </w:p>
        </w:tc>
        <w:tc>
          <w:tcPr>
            <w:tcW w:w="2140" w:type="dxa"/>
            <w:tcBorders>
              <w:top w:val="nil"/>
              <w:left w:val="nil"/>
              <w:bottom w:val="nil"/>
              <w:right w:val="nil"/>
            </w:tcBorders>
            <w:vAlign w:val="center"/>
          </w:tcPr>
          <w:p w:rsidR="00E87C4B" w:rsidRDefault="00E87C4B" w:rsidP="00B4410A">
            <w:pPr>
              <w:jc w:val="center"/>
              <w:rPr>
                <w:rFonts w:ascii="黑体" w:eastAsia="黑体" w:hAnsi="宋体" w:cs="宋体"/>
                <w:sz w:val="24"/>
                <w:szCs w:val="24"/>
              </w:rPr>
            </w:pPr>
          </w:p>
        </w:tc>
        <w:tc>
          <w:tcPr>
            <w:tcW w:w="2020" w:type="dxa"/>
            <w:tcBorders>
              <w:top w:val="nil"/>
              <w:left w:val="nil"/>
              <w:bottom w:val="nil"/>
              <w:right w:val="nil"/>
            </w:tcBorders>
            <w:noWrap/>
            <w:vAlign w:val="center"/>
          </w:tcPr>
          <w:p w:rsidR="00E87C4B" w:rsidRDefault="00E87C4B" w:rsidP="00B4410A">
            <w:pPr>
              <w:rPr>
                <w:rFonts w:ascii="宋体" w:hAnsi="宋体"/>
                <w:sz w:val="24"/>
                <w:szCs w:val="24"/>
              </w:rPr>
            </w:pPr>
            <w:r>
              <w:rPr>
                <w:rFonts w:ascii="宋体" w:hAnsi="宋体" w:hint="eastAsia"/>
              </w:rPr>
              <w:t>填表单位：</w:t>
            </w:r>
          </w:p>
        </w:tc>
        <w:tc>
          <w:tcPr>
            <w:tcW w:w="2260" w:type="dxa"/>
            <w:tcBorders>
              <w:top w:val="nil"/>
              <w:left w:val="nil"/>
              <w:bottom w:val="nil"/>
              <w:right w:val="nil"/>
            </w:tcBorders>
            <w:noWrap/>
            <w:vAlign w:val="center"/>
          </w:tcPr>
          <w:p w:rsidR="00E87C4B" w:rsidRDefault="00E87C4B" w:rsidP="00B4410A">
            <w:pPr>
              <w:rPr>
                <w:rFonts w:ascii="宋体" w:hAnsi="宋体"/>
                <w:sz w:val="24"/>
                <w:szCs w:val="24"/>
              </w:rPr>
            </w:pPr>
          </w:p>
        </w:tc>
      </w:tr>
      <w:tr w:rsidR="00E87C4B" w:rsidTr="00B4410A">
        <w:trPr>
          <w:trHeight w:val="555"/>
        </w:trPr>
        <w:tc>
          <w:tcPr>
            <w:tcW w:w="2420" w:type="dxa"/>
            <w:vMerge w:val="restart"/>
            <w:tcBorders>
              <w:top w:val="single" w:sz="4" w:space="0" w:color="auto"/>
              <w:left w:val="single" w:sz="4" w:space="0" w:color="auto"/>
              <w:bottom w:val="single" w:sz="4" w:space="0" w:color="000000"/>
              <w:right w:val="single" w:sz="4" w:space="0" w:color="auto"/>
            </w:tcBorders>
            <w:noWrap/>
            <w:vAlign w:val="center"/>
          </w:tcPr>
          <w:p w:rsidR="00E87C4B" w:rsidRDefault="00E87C4B" w:rsidP="00B4410A">
            <w:pPr>
              <w:jc w:val="center"/>
              <w:rPr>
                <w:rFonts w:ascii="黑体" w:eastAsia="黑体" w:hAnsi="宋体" w:cs="宋体"/>
                <w:sz w:val="24"/>
                <w:szCs w:val="24"/>
              </w:rPr>
            </w:pPr>
            <w:r>
              <w:rPr>
                <w:rFonts w:ascii="黑体" w:eastAsia="黑体" w:hint="eastAsia"/>
              </w:rPr>
              <w:t>单    位</w:t>
            </w:r>
          </w:p>
        </w:tc>
        <w:tc>
          <w:tcPr>
            <w:tcW w:w="1880" w:type="dxa"/>
            <w:vMerge w:val="restart"/>
            <w:tcBorders>
              <w:top w:val="single" w:sz="4" w:space="0" w:color="auto"/>
              <w:left w:val="nil"/>
              <w:bottom w:val="single" w:sz="4" w:space="0" w:color="000000"/>
              <w:right w:val="single" w:sz="4" w:space="0" w:color="auto"/>
            </w:tcBorders>
            <w:vAlign w:val="center"/>
          </w:tcPr>
          <w:p w:rsidR="00E87C4B" w:rsidRDefault="00E87C4B" w:rsidP="00B4410A">
            <w:pPr>
              <w:jc w:val="center"/>
              <w:rPr>
                <w:rFonts w:ascii="黑体" w:eastAsia="黑体" w:hAnsi="宋体" w:cs="宋体"/>
                <w:sz w:val="24"/>
                <w:szCs w:val="24"/>
              </w:rPr>
            </w:pPr>
            <w:r>
              <w:rPr>
                <w:rFonts w:ascii="黑体" w:eastAsia="黑体" w:hint="eastAsia"/>
              </w:rPr>
              <w:t>房地产项目总数</w:t>
            </w:r>
          </w:p>
        </w:tc>
        <w:tc>
          <w:tcPr>
            <w:tcW w:w="1780" w:type="dxa"/>
            <w:vMerge w:val="restart"/>
            <w:tcBorders>
              <w:top w:val="single" w:sz="4" w:space="0" w:color="auto"/>
              <w:left w:val="nil"/>
              <w:bottom w:val="single" w:sz="4" w:space="0" w:color="000000"/>
              <w:right w:val="single" w:sz="4" w:space="0" w:color="auto"/>
            </w:tcBorders>
            <w:vAlign w:val="center"/>
          </w:tcPr>
          <w:p w:rsidR="00E87C4B" w:rsidRDefault="00E87C4B" w:rsidP="00B4410A">
            <w:pPr>
              <w:jc w:val="center"/>
              <w:rPr>
                <w:rFonts w:ascii="黑体" w:eastAsia="黑体" w:hAnsi="宋体" w:cs="宋体"/>
                <w:sz w:val="24"/>
                <w:szCs w:val="24"/>
              </w:rPr>
            </w:pPr>
            <w:r>
              <w:rPr>
                <w:rFonts w:ascii="黑体" w:eastAsia="黑体" w:hint="eastAsia"/>
              </w:rPr>
              <w:t>已清算项目数</w:t>
            </w:r>
          </w:p>
        </w:tc>
        <w:tc>
          <w:tcPr>
            <w:tcW w:w="4200" w:type="dxa"/>
            <w:gridSpan w:val="2"/>
            <w:tcBorders>
              <w:top w:val="single" w:sz="4" w:space="0" w:color="auto"/>
              <w:left w:val="nil"/>
              <w:bottom w:val="single" w:sz="4" w:space="0" w:color="auto"/>
              <w:right w:val="single" w:sz="4" w:space="0" w:color="auto"/>
            </w:tcBorders>
            <w:noWrap/>
            <w:vAlign w:val="center"/>
          </w:tcPr>
          <w:p w:rsidR="00E87C4B" w:rsidRDefault="00E87C4B" w:rsidP="00B4410A">
            <w:pPr>
              <w:jc w:val="center"/>
              <w:rPr>
                <w:rFonts w:ascii="黑体" w:eastAsia="黑体" w:hAnsi="宋体" w:cs="宋体"/>
                <w:sz w:val="24"/>
                <w:szCs w:val="24"/>
              </w:rPr>
            </w:pPr>
            <w:r>
              <w:rPr>
                <w:rFonts w:ascii="黑体" w:eastAsia="黑体" w:hint="eastAsia"/>
              </w:rPr>
              <w:t>符合清算条件项目数</w:t>
            </w:r>
          </w:p>
        </w:tc>
        <w:tc>
          <w:tcPr>
            <w:tcW w:w="2020" w:type="dxa"/>
            <w:vMerge w:val="restart"/>
            <w:tcBorders>
              <w:top w:val="single" w:sz="4" w:space="0" w:color="auto"/>
              <w:left w:val="nil"/>
              <w:bottom w:val="single" w:sz="4" w:space="0" w:color="000000"/>
              <w:right w:val="single" w:sz="4" w:space="0" w:color="auto"/>
            </w:tcBorders>
            <w:noWrap/>
            <w:vAlign w:val="center"/>
          </w:tcPr>
          <w:p w:rsidR="00E87C4B" w:rsidRDefault="00E87C4B" w:rsidP="00B4410A">
            <w:pPr>
              <w:jc w:val="center"/>
              <w:rPr>
                <w:rFonts w:ascii="黑体" w:eastAsia="黑体" w:hAnsi="宋体" w:cs="宋体"/>
                <w:sz w:val="24"/>
                <w:szCs w:val="24"/>
              </w:rPr>
            </w:pPr>
            <w:r>
              <w:rPr>
                <w:rFonts w:ascii="黑体" w:eastAsia="黑体" w:hint="eastAsia"/>
              </w:rPr>
              <w:t>计划完成清算数</w:t>
            </w:r>
          </w:p>
        </w:tc>
        <w:tc>
          <w:tcPr>
            <w:tcW w:w="2260" w:type="dxa"/>
            <w:vMerge w:val="restart"/>
            <w:tcBorders>
              <w:top w:val="single" w:sz="4" w:space="0" w:color="auto"/>
              <w:left w:val="nil"/>
              <w:bottom w:val="single" w:sz="4" w:space="0" w:color="000000"/>
              <w:right w:val="single" w:sz="4" w:space="0" w:color="auto"/>
            </w:tcBorders>
            <w:noWrap/>
            <w:vAlign w:val="center"/>
          </w:tcPr>
          <w:p w:rsidR="00E87C4B" w:rsidRDefault="00E87C4B" w:rsidP="00B4410A">
            <w:pPr>
              <w:jc w:val="center"/>
              <w:rPr>
                <w:rFonts w:ascii="黑体" w:eastAsia="黑体" w:hAnsi="宋体" w:cs="宋体"/>
                <w:sz w:val="24"/>
                <w:szCs w:val="24"/>
              </w:rPr>
            </w:pPr>
            <w:r>
              <w:rPr>
                <w:rFonts w:ascii="黑体" w:eastAsia="黑体" w:hint="eastAsia"/>
              </w:rPr>
              <w:t>计划完成清算比例</w:t>
            </w:r>
          </w:p>
        </w:tc>
      </w:tr>
      <w:tr w:rsidR="00E87C4B" w:rsidTr="00B4410A">
        <w:trPr>
          <w:trHeight w:val="285"/>
        </w:trPr>
        <w:tc>
          <w:tcPr>
            <w:tcW w:w="2420" w:type="dxa"/>
            <w:vMerge/>
            <w:tcBorders>
              <w:top w:val="single" w:sz="4" w:space="0" w:color="auto"/>
              <w:left w:val="single" w:sz="4" w:space="0" w:color="auto"/>
              <w:bottom w:val="single" w:sz="4" w:space="0" w:color="000000"/>
              <w:right w:val="single" w:sz="4" w:space="0" w:color="auto"/>
            </w:tcBorders>
            <w:vAlign w:val="center"/>
          </w:tcPr>
          <w:p w:rsidR="00E87C4B" w:rsidRDefault="00E87C4B" w:rsidP="00B4410A">
            <w:pPr>
              <w:overflowPunct/>
              <w:autoSpaceDE/>
              <w:autoSpaceDN/>
              <w:adjustRightInd/>
              <w:jc w:val="left"/>
              <w:textAlignment w:val="auto"/>
              <w:rPr>
                <w:rFonts w:ascii="黑体" w:eastAsia="黑体" w:hAnsi="宋体" w:cs="宋体"/>
                <w:sz w:val="24"/>
                <w:szCs w:val="24"/>
              </w:rPr>
            </w:pPr>
          </w:p>
        </w:tc>
        <w:tc>
          <w:tcPr>
            <w:tcW w:w="1880" w:type="dxa"/>
            <w:vMerge/>
            <w:tcBorders>
              <w:top w:val="single" w:sz="4" w:space="0" w:color="auto"/>
              <w:left w:val="nil"/>
              <w:bottom w:val="single" w:sz="4" w:space="0" w:color="000000"/>
              <w:right w:val="single" w:sz="4" w:space="0" w:color="auto"/>
            </w:tcBorders>
            <w:vAlign w:val="center"/>
          </w:tcPr>
          <w:p w:rsidR="00E87C4B" w:rsidRDefault="00E87C4B" w:rsidP="00B4410A">
            <w:pPr>
              <w:overflowPunct/>
              <w:autoSpaceDE/>
              <w:autoSpaceDN/>
              <w:adjustRightInd/>
              <w:jc w:val="left"/>
              <w:textAlignment w:val="auto"/>
              <w:rPr>
                <w:rFonts w:ascii="黑体" w:eastAsia="黑体" w:hAnsi="宋体" w:cs="宋体"/>
                <w:sz w:val="24"/>
                <w:szCs w:val="24"/>
              </w:rPr>
            </w:pPr>
          </w:p>
        </w:tc>
        <w:tc>
          <w:tcPr>
            <w:tcW w:w="1780" w:type="dxa"/>
            <w:vMerge/>
            <w:tcBorders>
              <w:top w:val="single" w:sz="4" w:space="0" w:color="auto"/>
              <w:left w:val="nil"/>
              <w:bottom w:val="single" w:sz="4" w:space="0" w:color="000000"/>
              <w:right w:val="single" w:sz="4" w:space="0" w:color="auto"/>
            </w:tcBorders>
            <w:vAlign w:val="center"/>
          </w:tcPr>
          <w:p w:rsidR="00E87C4B" w:rsidRDefault="00E87C4B" w:rsidP="00B4410A">
            <w:pPr>
              <w:overflowPunct/>
              <w:autoSpaceDE/>
              <w:autoSpaceDN/>
              <w:adjustRightInd/>
              <w:jc w:val="left"/>
              <w:textAlignment w:val="auto"/>
              <w:rPr>
                <w:rFonts w:ascii="黑体" w:eastAsia="黑体" w:hAnsi="宋体" w:cs="宋体"/>
                <w:sz w:val="24"/>
                <w:szCs w:val="24"/>
              </w:rPr>
            </w:pPr>
          </w:p>
        </w:tc>
        <w:tc>
          <w:tcPr>
            <w:tcW w:w="2060" w:type="dxa"/>
            <w:tcBorders>
              <w:top w:val="nil"/>
              <w:left w:val="nil"/>
              <w:bottom w:val="single" w:sz="4" w:space="0" w:color="auto"/>
              <w:right w:val="single" w:sz="4" w:space="0" w:color="auto"/>
            </w:tcBorders>
            <w:noWrap/>
            <w:vAlign w:val="center"/>
          </w:tcPr>
          <w:p w:rsidR="00E87C4B" w:rsidRDefault="00E87C4B" w:rsidP="00B4410A">
            <w:pPr>
              <w:jc w:val="center"/>
              <w:rPr>
                <w:rFonts w:ascii="黑体" w:eastAsia="黑体" w:hAnsi="宋体" w:cs="宋体"/>
                <w:sz w:val="24"/>
                <w:szCs w:val="24"/>
              </w:rPr>
            </w:pPr>
            <w:r>
              <w:rPr>
                <w:rFonts w:ascii="黑体" w:eastAsia="黑体" w:hint="eastAsia"/>
              </w:rPr>
              <w:t>应清算项目数</w:t>
            </w:r>
          </w:p>
        </w:tc>
        <w:tc>
          <w:tcPr>
            <w:tcW w:w="2140" w:type="dxa"/>
            <w:tcBorders>
              <w:top w:val="nil"/>
              <w:left w:val="nil"/>
              <w:bottom w:val="single" w:sz="4" w:space="0" w:color="auto"/>
              <w:right w:val="single" w:sz="4" w:space="0" w:color="auto"/>
            </w:tcBorders>
            <w:noWrap/>
            <w:vAlign w:val="center"/>
          </w:tcPr>
          <w:p w:rsidR="00E87C4B" w:rsidRDefault="00E87C4B" w:rsidP="00B4410A">
            <w:pPr>
              <w:jc w:val="center"/>
              <w:rPr>
                <w:rFonts w:ascii="黑体" w:eastAsia="黑体" w:hAnsi="宋体" w:cs="宋体"/>
                <w:sz w:val="24"/>
                <w:szCs w:val="24"/>
              </w:rPr>
            </w:pPr>
            <w:r>
              <w:rPr>
                <w:rFonts w:ascii="黑体" w:eastAsia="黑体" w:hint="eastAsia"/>
              </w:rPr>
              <w:t>可清算项目数</w:t>
            </w:r>
          </w:p>
        </w:tc>
        <w:tc>
          <w:tcPr>
            <w:tcW w:w="2020" w:type="dxa"/>
            <w:vMerge/>
            <w:tcBorders>
              <w:top w:val="single" w:sz="4" w:space="0" w:color="auto"/>
              <w:left w:val="nil"/>
              <w:bottom w:val="single" w:sz="4" w:space="0" w:color="000000"/>
              <w:right w:val="single" w:sz="4" w:space="0" w:color="auto"/>
            </w:tcBorders>
            <w:vAlign w:val="center"/>
          </w:tcPr>
          <w:p w:rsidR="00E87C4B" w:rsidRDefault="00E87C4B" w:rsidP="00B4410A">
            <w:pPr>
              <w:overflowPunct/>
              <w:autoSpaceDE/>
              <w:autoSpaceDN/>
              <w:adjustRightInd/>
              <w:jc w:val="left"/>
              <w:textAlignment w:val="auto"/>
              <w:rPr>
                <w:rFonts w:ascii="黑体" w:eastAsia="黑体" w:hAnsi="宋体" w:cs="宋体"/>
                <w:sz w:val="24"/>
                <w:szCs w:val="24"/>
              </w:rPr>
            </w:pPr>
          </w:p>
        </w:tc>
        <w:tc>
          <w:tcPr>
            <w:tcW w:w="2260" w:type="dxa"/>
            <w:vMerge/>
            <w:tcBorders>
              <w:top w:val="single" w:sz="4" w:space="0" w:color="auto"/>
              <w:left w:val="nil"/>
              <w:bottom w:val="single" w:sz="4" w:space="0" w:color="000000"/>
              <w:right w:val="single" w:sz="4" w:space="0" w:color="auto"/>
            </w:tcBorders>
            <w:vAlign w:val="center"/>
          </w:tcPr>
          <w:p w:rsidR="00E87C4B" w:rsidRDefault="00E87C4B" w:rsidP="00B4410A">
            <w:pPr>
              <w:overflowPunct/>
              <w:autoSpaceDE/>
              <w:autoSpaceDN/>
              <w:adjustRightInd/>
              <w:jc w:val="left"/>
              <w:textAlignment w:val="auto"/>
              <w:rPr>
                <w:rFonts w:ascii="黑体" w:eastAsia="黑体" w:hAnsi="宋体" w:cs="宋体"/>
                <w:sz w:val="24"/>
                <w:szCs w:val="24"/>
              </w:rPr>
            </w:pP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lastRenderedPageBreak/>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10280" w:type="dxa"/>
            <w:gridSpan w:val="5"/>
            <w:tcBorders>
              <w:top w:val="single" w:sz="4" w:space="0" w:color="auto"/>
              <w:left w:val="single" w:sz="4" w:space="0" w:color="auto"/>
              <w:bottom w:val="single" w:sz="4" w:space="0" w:color="auto"/>
              <w:right w:val="nil"/>
            </w:tcBorders>
            <w:noWrap/>
            <w:vAlign w:val="center"/>
          </w:tcPr>
          <w:p w:rsidR="00E87C4B" w:rsidRDefault="00E87C4B" w:rsidP="00B4410A">
            <w:pPr>
              <w:rPr>
                <w:rFonts w:ascii="宋体" w:hAnsi="宋体"/>
                <w:b/>
                <w:bCs/>
                <w:sz w:val="16"/>
                <w:szCs w:val="16"/>
              </w:rPr>
            </w:pPr>
            <w:r>
              <w:rPr>
                <w:rFonts w:ascii="宋体" w:hAnsi="宋体" w:hint="eastAsia"/>
                <w:b/>
                <w:bCs/>
                <w:sz w:val="16"/>
                <w:szCs w:val="16"/>
              </w:rPr>
              <w:t>填表说明：１、此表第一行为全省截止到</w:t>
            </w:r>
            <w:r>
              <w:rPr>
                <w:rFonts w:hint="eastAsia"/>
                <w:b/>
                <w:bCs/>
                <w:sz w:val="16"/>
                <w:szCs w:val="16"/>
              </w:rPr>
              <w:t>5</w:t>
            </w:r>
            <w:r>
              <w:rPr>
                <w:rFonts w:ascii="宋体" w:hAnsi="宋体" w:hint="eastAsia"/>
                <w:b/>
                <w:bCs/>
                <w:sz w:val="16"/>
                <w:szCs w:val="16"/>
              </w:rPr>
              <w:t>月底的数据，以下各行分别为各地、市，直辖市、计划单列市为所辖区县；</w:t>
            </w:r>
          </w:p>
        </w:tc>
        <w:tc>
          <w:tcPr>
            <w:tcW w:w="2020" w:type="dxa"/>
            <w:tcBorders>
              <w:top w:val="nil"/>
              <w:left w:val="nil"/>
              <w:bottom w:val="single" w:sz="4" w:space="0" w:color="auto"/>
              <w:right w:val="nil"/>
            </w:tcBorders>
            <w:noWrap/>
            <w:vAlign w:val="center"/>
          </w:tcPr>
          <w:p w:rsidR="00E87C4B" w:rsidRDefault="00E87C4B" w:rsidP="00B4410A">
            <w:pPr>
              <w:rPr>
                <w:rFonts w:ascii="宋体" w:hAnsi="宋体"/>
                <w:b/>
                <w:bCs/>
                <w:sz w:val="16"/>
                <w:szCs w:val="16"/>
              </w:rPr>
            </w:pPr>
            <w:r>
              <w:rPr>
                <w:rFonts w:ascii="宋体" w:hAnsi="宋体" w:hint="eastAsia"/>
                <w:b/>
                <w:bCs/>
                <w:sz w:val="16"/>
                <w:szCs w:val="16"/>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b/>
                <w:bCs/>
                <w:sz w:val="16"/>
                <w:szCs w:val="16"/>
              </w:rPr>
            </w:pPr>
            <w:r>
              <w:rPr>
                <w:rFonts w:ascii="宋体" w:hAnsi="宋体" w:hint="eastAsia"/>
                <w:b/>
                <w:bCs/>
                <w:sz w:val="16"/>
                <w:szCs w:val="16"/>
              </w:rPr>
              <w:t xml:space="preserve">　</w:t>
            </w:r>
          </w:p>
        </w:tc>
      </w:tr>
      <w:tr w:rsidR="00E87C4B" w:rsidTr="00B4410A">
        <w:trPr>
          <w:trHeight w:val="285"/>
        </w:trPr>
        <w:tc>
          <w:tcPr>
            <w:tcW w:w="10280" w:type="dxa"/>
            <w:gridSpan w:val="5"/>
            <w:tcBorders>
              <w:top w:val="single" w:sz="4" w:space="0" w:color="auto"/>
              <w:left w:val="single" w:sz="4" w:space="0" w:color="auto"/>
              <w:bottom w:val="single" w:sz="4" w:space="0" w:color="auto"/>
              <w:right w:val="nil"/>
            </w:tcBorders>
            <w:noWrap/>
            <w:vAlign w:val="center"/>
          </w:tcPr>
          <w:p w:rsidR="00E87C4B" w:rsidRDefault="00E87C4B" w:rsidP="00B4410A">
            <w:pPr>
              <w:rPr>
                <w:rFonts w:ascii="宋体" w:hAnsi="宋体"/>
                <w:b/>
                <w:bCs/>
                <w:sz w:val="16"/>
                <w:szCs w:val="16"/>
              </w:rPr>
            </w:pPr>
            <w:r>
              <w:rPr>
                <w:rFonts w:ascii="宋体" w:hAnsi="宋体" w:hint="eastAsia"/>
                <w:b/>
                <w:bCs/>
                <w:sz w:val="16"/>
                <w:szCs w:val="16"/>
              </w:rPr>
              <w:t xml:space="preserve">         2、拟完成清算数为今年计划完成清算的项目数，完成比例</w:t>
            </w:r>
            <w:r>
              <w:rPr>
                <w:rFonts w:hint="eastAsia"/>
                <w:b/>
                <w:bCs/>
                <w:sz w:val="16"/>
                <w:szCs w:val="16"/>
              </w:rPr>
              <w:t>=</w:t>
            </w:r>
            <w:r>
              <w:rPr>
                <w:rFonts w:ascii="宋体" w:hAnsi="宋体" w:hint="eastAsia"/>
                <w:b/>
                <w:bCs/>
                <w:sz w:val="16"/>
                <w:szCs w:val="16"/>
              </w:rPr>
              <w:t>计划完成清算数</w:t>
            </w:r>
            <w:r>
              <w:rPr>
                <w:rFonts w:hint="eastAsia"/>
                <w:b/>
                <w:bCs/>
                <w:sz w:val="16"/>
                <w:szCs w:val="16"/>
              </w:rPr>
              <w:t>/</w:t>
            </w:r>
            <w:r>
              <w:rPr>
                <w:rFonts w:ascii="宋体" w:hAnsi="宋体" w:hint="eastAsia"/>
                <w:b/>
                <w:bCs/>
                <w:sz w:val="16"/>
                <w:szCs w:val="16"/>
              </w:rPr>
              <w:t>符合清算条件项目数</w:t>
            </w:r>
          </w:p>
        </w:tc>
        <w:tc>
          <w:tcPr>
            <w:tcW w:w="2020" w:type="dxa"/>
            <w:tcBorders>
              <w:top w:val="nil"/>
              <w:left w:val="nil"/>
              <w:bottom w:val="single" w:sz="4" w:space="0" w:color="auto"/>
              <w:right w:val="nil"/>
            </w:tcBorders>
            <w:noWrap/>
            <w:vAlign w:val="center"/>
          </w:tcPr>
          <w:p w:rsidR="00E87C4B" w:rsidRDefault="00E87C4B" w:rsidP="00B4410A">
            <w:pPr>
              <w:rPr>
                <w:rFonts w:ascii="宋体" w:hAnsi="宋体"/>
                <w:b/>
                <w:bCs/>
                <w:sz w:val="16"/>
                <w:szCs w:val="16"/>
              </w:rPr>
            </w:pPr>
            <w:r>
              <w:rPr>
                <w:rFonts w:ascii="宋体" w:hAnsi="宋体" w:hint="eastAsia"/>
                <w:b/>
                <w:bCs/>
                <w:sz w:val="16"/>
                <w:szCs w:val="16"/>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b/>
                <w:bCs/>
                <w:sz w:val="16"/>
                <w:szCs w:val="16"/>
              </w:rPr>
            </w:pPr>
            <w:r>
              <w:rPr>
                <w:rFonts w:ascii="宋体" w:hAnsi="宋体" w:hint="eastAsia"/>
                <w:b/>
                <w:bCs/>
                <w:sz w:val="16"/>
                <w:szCs w:val="16"/>
              </w:rPr>
              <w:t xml:space="preserve">　</w:t>
            </w:r>
          </w:p>
        </w:tc>
      </w:tr>
    </w:tbl>
    <w:p w:rsidR="00E87C4B" w:rsidRDefault="00E87C4B" w:rsidP="00634BD7">
      <w:pPr>
        <w:ind w:right="19"/>
        <w:rPr>
          <w:rFonts w:eastAsia="仿宋_GB2312"/>
          <w:sz w:val="32"/>
        </w:rPr>
        <w:sectPr w:rsidR="00E87C4B" w:rsidSect="00917019">
          <w:pgSz w:w="16840" w:h="11907" w:orient="landscape" w:code="9"/>
          <w:pgMar w:top="1531" w:right="2098" w:bottom="1531" w:left="1985" w:header="567" w:footer="907" w:gutter="0"/>
          <w:cols w:space="425"/>
          <w:titlePg/>
          <w:docGrid w:type="lines" w:linePitch="579"/>
        </w:sectPr>
      </w:pPr>
    </w:p>
    <w:p w:rsidR="007838AE" w:rsidRPr="00E87C4B" w:rsidRDefault="007838AE"/>
    <w:sectPr w:rsidR="007838AE" w:rsidRPr="00E87C4B" w:rsidSect="001D2C20">
      <w:pgSz w:w="11907" w:h="16840" w:code="9"/>
      <w:pgMar w:top="2098" w:right="1531" w:bottom="1985" w:left="1531" w:header="567" w:footer="907" w:gutter="0"/>
      <w:cols w:space="425"/>
      <w:titlePg/>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8AE" w:rsidRDefault="007838AE" w:rsidP="00E87C4B">
      <w:r>
        <w:separator/>
      </w:r>
    </w:p>
  </w:endnote>
  <w:endnote w:type="continuationSeparator" w:id="1">
    <w:p w:rsidR="007838AE" w:rsidRDefault="007838AE" w:rsidP="00E87C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4B" w:rsidRDefault="00E87C4B" w:rsidP="00D95125">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87C4B" w:rsidRDefault="00E87C4B" w:rsidP="00D9512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4B" w:rsidRDefault="00E87C4B" w:rsidP="00D95125">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634BD7">
      <w:rPr>
        <w:rStyle w:val="a5"/>
        <w:noProof/>
      </w:rPr>
      <w:t>2</w:t>
    </w:r>
    <w:r>
      <w:rPr>
        <w:rStyle w:val="a5"/>
      </w:rPr>
      <w:fldChar w:fldCharType="end"/>
    </w:r>
  </w:p>
  <w:p w:rsidR="00E87C4B" w:rsidRDefault="00E87C4B" w:rsidP="00D9512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8AE" w:rsidRDefault="007838AE" w:rsidP="00E87C4B">
      <w:r>
        <w:separator/>
      </w:r>
    </w:p>
  </w:footnote>
  <w:footnote w:type="continuationSeparator" w:id="1">
    <w:p w:rsidR="007838AE" w:rsidRDefault="007838AE" w:rsidP="00E87C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C4B"/>
    <w:rsid w:val="00634BD7"/>
    <w:rsid w:val="007838AE"/>
    <w:rsid w:val="00E87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C4B"/>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7C4B"/>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E87C4B"/>
    <w:rPr>
      <w:sz w:val="18"/>
      <w:szCs w:val="18"/>
    </w:rPr>
  </w:style>
  <w:style w:type="paragraph" w:styleId="a4">
    <w:name w:val="footer"/>
    <w:basedOn w:val="a"/>
    <w:link w:val="Char0"/>
    <w:unhideWhenUsed/>
    <w:rsid w:val="00E87C4B"/>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E87C4B"/>
    <w:rPr>
      <w:sz w:val="18"/>
      <w:szCs w:val="18"/>
    </w:rPr>
  </w:style>
  <w:style w:type="character" w:styleId="a5">
    <w:name w:val="page number"/>
    <w:basedOn w:val="a0"/>
    <w:rsid w:val="00E87C4B"/>
  </w:style>
  <w:style w:type="paragraph" w:styleId="a6">
    <w:name w:val="Plain Text"/>
    <w:basedOn w:val="a"/>
    <w:link w:val="Char1"/>
    <w:rsid w:val="00E87C4B"/>
    <w:pPr>
      <w:widowControl w:val="0"/>
      <w:overflowPunct/>
      <w:autoSpaceDN/>
      <w:adjustRightInd/>
      <w:textAlignment w:val="auto"/>
    </w:pPr>
    <w:rPr>
      <w:rFonts w:ascii="宋体" w:hAnsi="Courier New" w:cs="Courier New"/>
      <w:kern w:val="2"/>
      <w:szCs w:val="21"/>
    </w:rPr>
  </w:style>
  <w:style w:type="character" w:customStyle="1" w:styleId="Char1">
    <w:name w:val="纯文本 Char"/>
    <w:basedOn w:val="a0"/>
    <w:link w:val="a6"/>
    <w:rsid w:val="00E87C4B"/>
    <w:rPr>
      <w:rFonts w:ascii="宋体" w:eastAsia="宋体" w:hAnsi="Courier New" w:cs="Courier New"/>
      <w:szCs w:val="21"/>
    </w:rPr>
  </w:style>
  <w:style w:type="paragraph" w:styleId="a7">
    <w:name w:val="Balloon Text"/>
    <w:basedOn w:val="a"/>
    <w:link w:val="Char2"/>
    <w:uiPriority w:val="99"/>
    <w:semiHidden/>
    <w:unhideWhenUsed/>
    <w:rsid w:val="00E87C4B"/>
    <w:rPr>
      <w:sz w:val="18"/>
      <w:szCs w:val="18"/>
    </w:rPr>
  </w:style>
  <w:style w:type="character" w:customStyle="1" w:styleId="Char2">
    <w:name w:val="批注框文本 Char"/>
    <w:basedOn w:val="a0"/>
    <w:link w:val="a7"/>
    <w:uiPriority w:val="99"/>
    <w:semiHidden/>
    <w:rsid w:val="00E87C4B"/>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795</Words>
  <Characters>4532</Characters>
  <Application>Microsoft Office Word</Application>
  <DocSecurity>0</DocSecurity>
  <Lines>37</Lines>
  <Paragraphs>10</Paragraphs>
  <ScaleCrop>false</ScaleCrop>
  <Company>Microsoft</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刘晓萍</dc:creator>
  <cp:keywords/>
  <dc:description/>
  <cp:lastModifiedBy>刘晓萍</cp:lastModifiedBy>
  <cp:revision>3</cp:revision>
  <dcterms:created xsi:type="dcterms:W3CDTF">2020-09-11T02:10:00Z</dcterms:created>
  <dcterms:modified xsi:type="dcterms:W3CDTF">2020-09-11T02:12:00Z</dcterms:modified>
</cp:coreProperties>
</file>