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财政部 国家税务总局关于调整乘用车消费税政策的通知 2008-08-01 财税〔2008〕105号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Fonts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>附件：乘用车消费税税目税率表</w:t>
      </w:r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tbl>
      <w:tblPr>
        <w:tblW w:w="8205" w:type="dxa"/>
        <w:jc w:val="center"/>
        <w:tblCellSpacing w:w="0" w:type="dxa"/>
        <w:tblInd w:w="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5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税　　　  目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税 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小汽车：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乘用车：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（1）气缸容量（排气量，下同）在1.0升以下（含1.0升）的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（2）气缸容量在1.0升以上至1.5升（含1.5升）的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3％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（3）气缸容量在1.5升以上至2.0升（含2.0升）的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5％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（4）气缸容量在2.0升以上至2.5升（含2.5升）的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9％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（5）气缸容量在2.5升以上至3.0升（含3.0升）的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12％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（6）气缸容量在3.0升以上至4.0升（含4.0升）的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25％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（7）气缸容量在4.0升以上的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40％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"http://hd.chinatax.gov.cn/fuwu/jiucuo.html" \t "http://www.chinatax.gov.cn/chinatax/n360/c4083/_blank"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177F"/>
    <w:rsid w:val="5E52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ao1"/>
    <w:basedOn w:val="3"/>
    <w:uiPriority w:val="0"/>
    <w:rPr>
      <w:b/>
    </w:rPr>
  </w:style>
  <w:style w:type="character" w:customStyle="1" w:styleId="9">
    <w:name w:val="wz"/>
    <w:basedOn w:val="3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2019-11-14T09:25:00Z</dcterms:created>
  <dc:creator>lenovo</dc:creator>
  <cp:lastModifiedBy>lenovo</cp:lastModifiedBy>
  <dcterms:modified xsi:type="dcterms:W3CDTF">2019-11-14T09:28:46Z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